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91" w:tblpY="1051"/>
        <w:tblW w:w="1449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2448"/>
        <w:gridCol w:w="2340"/>
        <w:gridCol w:w="2250"/>
        <w:gridCol w:w="2070"/>
      </w:tblGrid>
      <w:tr w:rsidR="00DE11C9" w:rsidRPr="00DE11C9" w:rsidTr="006210C4">
        <w:trPr>
          <w:trHeight w:val="893"/>
        </w:trPr>
        <w:tc>
          <w:tcPr>
            <w:tcW w:w="2122" w:type="dxa"/>
          </w:tcPr>
          <w:p w:rsidR="00DE11C9" w:rsidRPr="00BA5F99" w:rsidRDefault="00DE11C9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 w:rsidRPr="00BA5F99">
              <w:rPr>
                <w:b/>
                <w:color w:val="ED7D31" w:themeColor="accent2"/>
                <w:u w:val="single"/>
              </w:rPr>
              <w:t>DRUG</w:t>
            </w:r>
          </w:p>
        </w:tc>
        <w:tc>
          <w:tcPr>
            <w:tcW w:w="1559" w:type="dxa"/>
          </w:tcPr>
          <w:p w:rsidR="00DE11C9" w:rsidRPr="00BA5F99" w:rsidRDefault="00DE11C9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 w:rsidRPr="00BA5F99">
              <w:rPr>
                <w:b/>
                <w:color w:val="ED7D31" w:themeColor="accent2"/>
                <w:u w:val="single"/>
              </w:rPr>
              <w:t>TRADE NAME</w:t>
            </w:r>
          </w:p>
        </w:tc>
        <w:tc>
          <w:tcPr>
            <w:tcW w:w="1701" w:type="dxa"/>
          </w:tcPr>
          <w:p w:rsidR="00DE11C9" w:rsidRPr="00BA5F99" w:rsidRDefault="00DE11C9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 w:rsidRPr="00BA5F99">
              <w:rPr>
                <w:b/>
                <w:color w:val="ED7D31" w:themeColor="accent2"/>
                <w:u w:val="single"/>
              </w:rPr>
              <w:t>ACTIVE INGREDIENT</w:t>
            </w:r>
          </w:p>
        </w:tc>
        <w:tc>
          <w:tcPr>
            <w:tcW w:w="2448" w:type="dxa"/>
          </w:tcPr>
          <w:p w:rsidR="00DE11C9" w:rsidRPr="00BA5F99" w:rsidRDefault="00DE11C9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 w:rsidRPr="00BA5F99">
              <w:rPr>
                <w:b/>
                <w:color w:val="ED7D31" w:themeColor="accent2"/>
                <w:u w:val="single"/>
              </w:rPr>
              <w:t>INDICATIONS</w:t>
            </w:r>
          </w:p>
        </w:tc>
        <w:tc>
          <w:tcPr>
            <w:tcW w:w="2340" w:type="dxa"/>
          </w:tcPr>
          <w:p w:rsidR="00DE11C9" w:rsidRPr="00BA5F99" w:rsidRDefault="003E63AB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ED7D31" w:themeColor="accent2"/>
                <w:u w:val="single"/>
              </w:rPr>
              <w:t>DO</w:t>
            </w:r>
            <w:r w:rsidR="00DE11C9" w:rsidRPr="00BA5F99">
              <w:rPr>
                <w:b/>
                <w:color w:val="ED7D31" w:themeColor="accent2"/>
                <w:u w:val="single"/>
              </w:rPr>
              <w:t>S</w:t>
            </w:r>
            <w:r>
              <w:rPr>
                <w:b/>
                <w:color w:val="ED7D31" w:themeColor="accent2"/>
                <w:u w:val="single"/>
              </w:rPr>
              <w:t>A</w:t>
            </w:r>
            <w:r w:rsidR="00DE11C9" w:rsidRPr="00BA5F99">
              <w:rPr>
                <w:b/>
                <w:color w:val="ED7D31" w:themeColor="accent2"/>
                <w:u w:val="single"/>
              </w:rPr>
              <w:t>GE</w:t>
            </w:r>
          </w:p>
        </w:tc>
        <w:tc>
          <w:tcPr>
            <w:tcW w:w="2250" w:type="dxa"/>
          </w:tcPr>
          <w:p w:rsidR="00DE11C9" w:rsidRPr="00BA5F99" w:rsidRDefault="00DE11C9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 w:rsidRPr="00BA5F99">
              <w:rPr>
                <w:b/>
                <w:color w:val="ED7D31" w:themeColor="accent2"/>
                <w:u w:val="single"/>
              </w:rPr>
              <w:t>CONTRAINDICATION</w:t>
            </w:r>
          </w:p>
        </w:tc>
        <w:tc>
          <w:tcPr>
            <w:tcW w:w="2070" w:type="dxa"/>
          </w:tcPr>
          <w:p w:rsidR="00DE11C9" w:rsidRPr="00BA5F99" w:rsidRDefault="00DE11C9" w:rsidP="00614026">
            <w:pPr>
              <w:jc w:val="center"/>
              <w:rPr>
                <w:b/>
                <w:color w:val="ED7D31" w:themeColor="accent2"/>
                <w:u w:val="single"/>
              </w:rPr>
            </w:pPr>
            <w:r w:rsidRPr="00BA5F99">
              <w:rPr>
                <w:b/>
                <w:color w:val="ED7D31" w:themeColor="accent2"/>
                <w:u w:val="single"/>
              </w:rPr>
              <w:t>WITHDRAWAL</w:t>
            </w:r>
          </w:p>
        </w:tc>
      </w:tr>
      <w:tr w:rsidR="00DE11C9" w:rsidTr="006210C4">
        <w:trPr>
          <w:trHeight w:val="3064"/>
        </w:trPr>
        <w:tc>
          <w:tcPr>
            <w:tcW w:w="2122" w:type="dxa"/>
          </w:tcPr>
          <w:p w:rsidR="00DE11C9" w:rsidRDefault="00BF07D2" w:rsidP="0061402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A4A152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257810</wp:posOffset>
                  </wp:positionV>
                  <wp:extent cx="761365" cy="1381125"/>
                  <wp:effectExtent l="0" t="0" r="635" b="9525"/>
                  <wp:wrapThrough wrapText="bothSides">
                    <wp:wrapPolygon edited="0">
                      <wp:start x="0" y="0"/>
                      <wp:lineTo x="0" y="21451"/>
                      <wp:lineTo x="21078" y="21451"/>
                      <wp:lineTo x="21078" y="0"/>
                      <wp:lineTo x="0" y="0"/>
                    </wp:wrapPolygon>
                  </wp:wrapThrough>
                  <wp:docPr id="2" name="Picture 2" descr="Image result for gentamicin 100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entamicin 100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07D2" w:rsidRPr="00BF07D2" w:rsidRDefault="00BF07D2" w:rsidP="00614026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E11C9" w:rsidRPr="002E2B2C" w:rsidRDefault="00DE11C9" w:rsidP="00614026">
            <w:pPr>
              <w:rPr>
                <w:sz w:val="20"/>
                <w:szCs w:val="20"/>
              </w:rPr>
            </w:pPr>
          </w:p>
          <w:p w:rsidR="00DE11C9" w:rsidRPr="002E2B2C" w:rsidRDefault="00DE11C9" w:rsidP="00614026">
            <w:pPr>
              <w:rPr>
                <w:sz w:val="20"/>
                <w:szCs w:val="20"/>
              </w:rPr>
            </w:pPr>
            <w:r w:rsidRPr="002E2B2C">
              <w:rPr>
                <w:sz w:val="20"/>
                <w:szCs w:val="20"/>
              </w:rPr>
              <w:t>Gentamycin 100</w:t>
            </w:r>
          </w:p>
        </w:tc>
        <w:tc>
          <w:tcPr>
            <w:tcW w:w="1701" w:type="dxa"/>
          </w:tcPr>
          <w:p w:rsidR="00DE11C9" w:rsidRPr="002E2B2C" w:rsidRDefault="00DE11C9" w:rsidP="00614026">
            <w:pPr>
              <w:rPr>
                <w:sz w:val="20"/>
                <w:szCs w:val="20"/>
              </w:rPr>
            </w:pPr>
          </w:p>
          <w:p w:rsidR="002E2B2C" w:rsidRPr="002E2B2C" w:rsidRDefault="002E2B2C" w:rsidP="00614026">
            <w:pPr>
              <w:rPr>
                <w:sz w:val="20"/>
                <w:szCs w:val="20"/>
              </w:rPr>
            </w:pPr>
            <w:r w:rsidRPr="002E2B2C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Gentamicin Sulfate </w:t>
            </w:r>
          </w:p>
        </w:tc>
        <w:tc>
          <w:tcPr>
            <w:tcW w:w="2448" w:type="dxa"/>
          </w:tcPr>
          <w:p w:rsidR="00DE11C9" w:rsidRPr="002E2B2C" w:rsidRDefault="00DE11C9" w:rsidP="00614026">
            <w:pPr>
              <w:rPr>
                <w:sz w:val="20"/>
                <w:szCs w:val="20"/>
              </w:rPr>
            </w:pPr>
          </w:p>
          <w:p w:rsidR="002E2B2C" w:rsidRPr="002E2B2C" w:rsidRDefault="002E2B2C" w:rsidP="00614026">
            <w:pPr>
              <w:rPr>
                <w:sz w:val="20"/>
                <w:szCs w:val="20"/>
              </w:rPr>
            </w:pPr>
            <w:r w:rsidRPr="002E2B2C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For the control of bacterial infections of the uterus (metritis) in horses and as an aid in improving conception in mares with uterine infections caused by bacteria sensitive to gentamicin.</w:t>
            </w:r>
          </w:p>
        </w:tc>
        <w:tc>
          <w:tcPr>
            <w:tcW w:w="2340" w:type="dxa"/>
          </w:tcPr>
          <w:p w:rsidR="00DE11C9" w:rsidRPr="00710A80" w:rsidRDefault="00DE11C9" w:rsidP="00614026">
            <w:pPr>
              <w:rPr>
                <w:sz w:val="20"/>
                <w:szCs w:val="20"/>
              </w:rPr>
            </w:pPr>
          </w:p>
          <w:p w:rsidR="002E2B2C" w:rsidRPr="00710A80" w:rsidRDefault="002E2B2C" w:rsidP="002E2B2C">
            <w:pPr>
              <w:rPr>
                <w:rFonts w:cs="Times New Roman"/>
                <w:sz w:val="20"/>
                <w:szCs w:val="20"/>
              </w:rPr>
            </w:pPr>
            <w:r w:rsidRPr="00710A80">
              <w:rPr>
                <w:rFonts w:cs="Times New Roman"/>
                <w:sz w:val="20"/>
                <w:szCs w:val="20"/>
              </w:rPr>
              <w:t>Horses: 6.6mg/kg, IV/</w:t>
            </w:r>
            <w:r w:rsidR="00BF07D2" w:rsidRPr="00710A80">
              <w:rPr>
                <w:rFonts w:cs="Times New Roman"/>
                <w:sz w:val="20"/>
                <w:szCs w:val="20"/>
              </w:rPr>
              <w:t>IM Foals</w:t>
            </w:r>
            <w:r w:rsidRPr="00710A80">
              <w:rPr>
                <w:rFonts w:cs="Times New Roman"/>
                <w:sz w:val="20"/>
                <w:szCs w:val="20"/>
              </w:rPr>
              <w:t>: 11-15 mg/kg</w:t>
            </w:r>
          </w:p>
          <w:p w:rsidR="002E2B2C" w:rsidRPr="00710A80" w:rsidRDefault="002E2B2C" w:rsidP="002E2B2C">
            <w:pPr>
              <w:rPr>
                <w:rFonts w:cs="Times New Roman"/>
                <w:sz w:val="20"/>
                <w:szCs w:val="20"/>
              </w:rPr>
            </w:pPr>
            <w:r w:rsidRPr="00710A80">
              <w:rPr>
                <w:rFonts w:cs="Times New Roman"/>
                <w:sz w:val="20"/>
                <w:szCs w:val="20"/>
              </w:rPr>
              <w:t xml:space="preserve">Pigs: 5mg/kg, PO/IM in neonates; 1.1mg/kg in </w:t>
            </w:r>
            <w:proofErr w:type="gramStart"/>
            <w:r w:rsidRPr="00710A80">
              <w:rPr>
                <w:rFonts w:cs="Times New Roman"/>
                <w:sz w:val="20"/>
                <w:szCs w:val="20"/>
              </w:rPr>
              <w:t>weanlings</w:t>
            </w:r>
            <w:proofErr w:type="gramEnd"/>
            <w:r w:rsidRPr="00710A80">
              <w:rPr>
                <w:rFonts w:cs="Times New Roman"/>
                <w:sz w:val="20"/>
                <w:szCs w:val="20"/>
              </w:rPr>
              <w:t xml:space="preserve"> PO. 2.2mg/kg to treat swine dysentery </w:t>
            </w:r>
          </w:p>
          <w:p w:rsidR="002E2B2C" w:rsidRPr="00710A80" w:rsidRDefault="002E2B2C" w:rsidP="002E2B2C">
            <w:pPr>
              <w:rPr>
                <w:sz w:val="20"/>
                <w:szCs w:val="20"/>
              </w:rPr>
            </w:pPr>
            <w:r w:rsidRPr="00710A80">
              <w:rPr>
                <w:rFonts w:cs="Times New Roman"/>
                <w:sz w:val="20"/>
                <w:szCs w:val="20"/>
              </w:rPr>
              <w:t>Sheep:  5mg/kg IM</w:t>
            </w:r>
          </w:p>
        </w:tc>
        <w:tc>
          <w:tcPr>
            <w:tcW w:w="2250" w:type="dxa"/>
          </w:tcPr>
          <w:p w:rsidR="00DE11C9" w:rsidRPr="00710A80" w:rsidRDefault="00DE11C9" w:rsidP="00614026">
            <w:pPr>
              <w:rPr>
                <w:sz w:val="20"/>
                <w:szCs w:val="20"/>
              </w:rPr>
            </w:pPr>
          </w:p>
          <w:p w:rsidR="002E2B2C" w:rsidRPr="00710A80" w:rsidRDefault="00BF07D2" w:rsidP="00614026">
            <w:pPr>
              <w:rPr>
                <w:sz w:val="20"/>
                <w:szCs w:val="20"/>
              </w:rPr>
            </w:pPr>
            <w:r w:rsidRPr="00710A8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Hypersensitivity to gentamycin. </w:t>
            </w:r>
            <w:r w:rsidRPr="00710A80">
              <w:rPr>
                <w:rFonts w:cs="Arial"/>
                <w:color w:val="262626"/>
                <w:sz w:val="20"/>
                <w:szCs w:val="20"/>
              </w:rPr>
              <w:br/>
            </w:r>
            <w:r w:rsidRPr="00710A8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Administration to animals with a serious impaired hepatic and/or renal function. </w:t>
            </w:r>
            <w:r w:rsidRPr="00710A80">
              <w:rPr>
                <w:rFonts w:cs="Arial"/>
                <w:color w:val="262626"/>
                <w:sz w:val="20"/>
                <w:szCs w:val="20"/>
              </w:rPr>
              <w:br/>
            </w:r>
            <w:r w:rsidRPr="00710A8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Concurrent administration of nephrotoxic substances.</w:t>
            </w:r>
          </w:p>
        </w:tc>
        <w:tc>
          <w:tcPr>
            <w:tcW w:w="2070" w:type="dxa"/>
          </w:tcPr>
          <w:p w:rsidR="00DE11C9" w:rsidRPr="00710A80" w:rsidRDefault="00DE11C9" w:rsidP="00614026">
            <w:pPr>
              <w:rPr>
                <w:sz w:val="20"/>
                <w:szCs w:val="20"/>
              </w:rPr>
            </w:pPr>
          </w:p>
          <w:p w:rsidR="00BF07D2" w:rsidRPr="00710A80" w:rsidRDefault="00BF07D2" w:rsidP="00614026">
            <w:pPr>
              <w:rPr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Pigs: 40 days for slaughter in piglets, 14 in neonatal swine, 10 days for weanlings and adults</w:t>
            </w:r>
          </w:p>
        </w:tc>
      </w:tr>
      <w:tr w:rsidR="00DE11C9" w:rsidTr="006210C4">
        <w:tc>
          <w:tcPr>
            <w:tcW w:w="2122" w:type="dxa"/>
          </w:tcPr>
          <w:p w:rsidR="00DE11C9" w:rsidRDefault="00DE11C9" w:rsidP="00614026"/>
          <w:p w:rsidR="00DE11C9" w:rsidRDefault="00CF70A4" w:rsidP="00614026">
            <w:r>
              <w:rPr>
                <w:noProof/>
              </w:rPr>
              <w:drawing>
                <wp:inline distT="0" distB="0" distL="0" distR="0" wp14:anchorId="04162F2A" wp14:editId="6579AAFE">
                  <wp:extent cx="1266825" cy="1266825"/>
                  <wp:effectExtent l="0" t="0" r="9525" b="9525"/>
                  <wp:docPr id="3" name="Picture 3" descr="Image result for amoxicillin injectable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moxicillin injectable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1C9" w:rsidRDefault="00DE11C9" w:rsidP="00614026"/>
        </w:tc>
        <w:tc>
          <w:tcPr>
            <w:tcW w:w="1559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DE11C9" w:rsidRPr="00FA3809" w:rsidRDefault="00DE11C9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Amoxicillin</w:t>
            </w:r>
          </w:p>
        </w:tc>
        <w:tc>
          <w:tcPr>
            <w:tcW w:w="1701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E2B2C" w:rsidRPr="00710A80" w:rsidRDefault="00710A80" w:rsidP="00614026">
            <w:pPr>
              <w:rPr>
                <w:sz w:val="20"/>
                <w:szCs w:val="20"/>
              </w:rPr>
            </w:pPr>
            <w:r w:rsidRPr="00710A80">
              <w:rPr>
                <w:rFonts w:cs="Arial"/>
                <w:color w:val="000000"/>
                <w:sz w:val="20"/>
                <w:szCs w:val="20"/>
              </w:rPr>
              <w:t>Amoxicillin base</w:t>
            </w:r>
          </w:p>
        </w:tc>
        <w:tc>
          <w:tcPr>
            <w:tcW w:w="2448" w:type="dxa"/>
          </w:tcPr>
          <w:p w:rsidR="00DE11C9" w:rsidRPr="00710A80" w:rsidRDefault="00DE11C9" w:rsidP="00614026">
            <w:pPr>
              <w:rPr>
                <w:sz w:val="16"/>
                <w:szCs w:val="16"/>
              </w:rPr>
            </w:pPr>
          </w:p>
          <w:p w:rsidR="00710A80" w:rsidRPr="00710A80" w:rsidRDefault="00710A80" w:rsidP="00614026">
            <w:pPr>
              <w:rPr>
                <w:sz w:val="20"/>
                <w:szCs w:val="20"/>
              </w:rPr>
            </w:pPr>
            <w:r w:rsidRPr="00710A8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Gastrointestinal, respiratory and urinary tract infections caused by amoxicillin sensitive micro-organisms in calves, cattle, goats, sheep and swine.</w:t>
            </w:r>
          </w:p>
        </w:tc>
        <w:tc>
          <w:tcPr>
            <w:tcW w:w="2340" w:type="dxa"/>
          </w:tcPr>
          <w:p w:rsidR="00DE11C9" w:rsidRPr="00710A80" w:rsidRDefault="00DE11C9" w:rsidP="00614026">
            <w:pPr>
              <w:rPr>
                <w:sz w:val="16"/>
                <w:szCs w:val="16"/>
              </w:rPr>
            </w:pPr>
          </w:p>
          <w:p w:rsidR="00CF70A4" w:rsidRPr="00710A80" w:rsidRDefault="00CF70A4" w:rsidP="00CF70A4">
            <w:pPr>
              <w:rPr>
                <w:rFonts w:cs="Times New Roman"/>
                <w:sz w:val="20"/>
                <w:szCs w:val="20"/>
              </w:rPr>
            </w:pPr>
            <w:r w:rsidRPr="00710A80">
              <w:rPr>
                <w:rFonts w:cs="Times New Roman"/>
                <w:sz w:val="20"/>
                <w:szCs w:val="20"/>
              </w:rPr>
              <w:t>Cattle: 6-10mg/kg</w:t>
            </w:r>
          </w:p>
          <w:p w:rsidR="00CF70A4" w:rsidRPr="00710A80" w:rsidRDefault="00CF70A4" w:rsidP="00CF70A4">
            <w:pPr>
              <w:rPr>
                <w:rFonts w:cs="Times New Roman"/>
                <w:sz w:val="20"/>
                <w:szCs w:val="20"/>
              </w:rPr>
            </w:pPr>
            <w:r w:rsidRPr="00710A80">
              <w:rPr>
                <w:rFonts w:cs="Times New Roman"/>
                <w:sz w:val="20"/>
                <w:szCs w:val="20"/>
              </w:rPr>
              <w:t>Calves: 7mg/kg PO</w:t>
            </w:r>
          </w:p>
          <w:p w:rsidR="00CF70A4" w:rsidRPr="00710A80" w:rsidRDefault="00CF70A4" w:rsidP="00CF70A4">
            <w:pPr>
              <w:rPr>
                <w:rFonts w:cs="Times New Roman"/>
                <w:sz w:val="20"/>
                <w:szCs w:val="20"/>
              </w:rPr>
            </w:pPr>
            <w:r w:rsidRPr="00710A80">
              <w:rPr>
                <w:rFonts w:cs="Times New Roman"/>
                <w:sz w:val="20"/>
                <w:szCs w:val="20"/>
              </w:rPr>
              <w:t xml:space="preserve">Horses: 20-30mg/ kg PO, </w:t>
            </w:r>
          </w:p>
          <w:p w:rsidR="00CF70A4" w:rsidRPr="00710A80" w:rsidRDefault="00CF70A4" w:rsidP="00CF70A4">
            <w:pPr>
              <w:rPr>
                <w:sz w:val="16"/>
                <w:szCs w:val="16"/>
              </w:rPr>
            </w:pPr>
            <w:r w:rsidRPr="00710A80">
              <w:rPr>
                <w:rFonts w:cs="Times New Roman"/>
                <w:sz w:val="20"/>
                <w:szCs w:val="20"/>
              </w:rPr>
              <w:t>Foals: 15-30mg/ kg IV/IM,</w:t>
            </w:r>
            <w:r w:rsidRPr="00710A80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</w:tcPr>
          <w:p w:rsidR="00DE11C9" w:rsidRPr="00710A80" w:rsidRDefault="00DE11C9" w:rsidP="00614026">
            <w:pPr>
              <w:rPr>
                <w:sz w:val="20"/>
                <w:szCs w:val="20"/>
              </w:rPr>
            </w:pPr>
          </w:p>
          <w:p w:rsidR="00CF70A4" w:rsidRPr="00710A80" w:rsidRDefault="00CF70A4" w:rsidP="00614026">
            <w:pPr>
              <w:rPr>
                <w:sz w:val="20"/>
                <w:szCs w:val="20"/>
              </w:rPr>
            </w:pPr>
            <w:r w:rsidRPr="00710A8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Hypersensitivity to amoxicillin. </w:t>
            </w:r>
            <w:r w:rsidRPr="00710A80">
              <w:rPr>
                <w:rFonts w:cs="Arial"/>
                <w:color w:val="262626"/>
                <w:sz w:val="20"/>
                <w:szCs w:val="20"/>
              </w:rPr>
              <w:br/>
            </w:r>
            <w:r w:rsidRPr="00710A8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Administration to animals with a seriously impaired renal function. </w:t>
            </w:r>
          </w:p>
        </w:tc>
        <w:tc>
          <w:tcPr>
            <w:tcW w:w="2070" w:type="dxa"/>
          </w:tcPr>
          <w:p w:rsidR="00710A80" w:rsidRDefault="00710A80" w:rsidP="00710A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62626"/>
              </w:rPr>
            </w:pPr>
          </w:p>
          <w:p w:rsidR="00710A80" w:rsidRPr="00710A80" w:rsidRDefault="00710A80" w:rsidP="00710A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62626"/>
                <w:sz w:val="20"/>
                <w:szCs w:val="20"/>
              </w:rPr>
            </w:pPr>
            <w:r w:rsidRPr="00710A80">
              <w:rPr>
                <w:rFonts w:asciiTheme="minorHAnsi" w:hAnsiTheme="minorHAnsi" w:cs="Arial"/>
                <w:color w:val="262626"/>
                <w:sz w:val="20"/>
                <w:szCs w:val="20"/>
              </w:rPr>
              <w:t>Meat: 21 days. </w:t>
            </w:r>
            <w:r w:rsidRPr="00710A80">
              <w:rPr>
                <w:rFonts w:asciiTheme="minorHAnsi" w:hAnsiTheme="minorHAnsi" w:cs="Arial"/>
                <w:color w:val="262626"/>
                <w:sz w:val="20"/>
                <w:szCs w:val="20"/>
              </w:rPr>
              <w:br/>
              <w:t>Milk: 3 days.</w:t>
            </w:r>
          </w:p>
          <w:p w:rsidR="00710A80" w:rsidRPr="00710A80" w:rsidRDefault="00710A80" w:rsidP="00710A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62626"/>
                <w:sz w:val="20"/>
                <w:szCs w:val="20"/>
              </w:rPr>
            </w:pPr>
            <w:r w:rsidRPr="00710A80">
              <w:rPr>
                <w:rFonts w:asciiTheme="minorHAnsi" w:hAnsiTheme="minorHAnsi" w:cs="Arial"/>
                <w:color w:val="262626"/>
                <w:sz w:val="20"/>
                <w:szCs w:val="20"/>
              </w:rPr>
              <w:t>Not for sheep producing milk for human production.</w:t>
            </w:r>
          </w:p>
          <w:p w:rsidR="00CF70A4" w:rsidRPr="00710A80" w:rsidRDefault="00CF70A4" w:rsidP="00710A80">
            <w:pPr>
              <w:rPr>
                <w:sz w:val="20"/>
                <w:szCs w:val="20"/>
              </w:rPr>
            </w:pPr>
          </w:p>
        </w:tc>
      </w:tr>
      <w:tr w:rsidR="00DE11C9" w:rsidTr="006210C4">
        <w:trPr>
          <w:trHeight w:val="4527"/>
        </w:trPr>
        <w:tc>
          <w:tcPr>
            <w:tcW w:w="2122" w:type="dxa"/>
          </w:tcPr>
          <w:p w:rsidR="00DE11C9" w:rsidRDefault="00B45732" w:rsidP="00DE11C9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48E889C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307975</wp:posOffset>
                  </wp:positionV>
                  <wp:extent cx="1266825" cy="1266825"/>
                  <wp:effectExtent l="0" t="0" r="9525" b="9525"/>
                  <wp:wrapThrough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hrough>
                  <wp:docPr id="1" name="Picture 1" descr="Image result for cefo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efo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11C9" w:rsidRDefault="00DE11C9" w:rsidP="00DE11C9"/>
          <w:p w:rsidR="00DE11C9" w:rsidRPr="00DE11C9" w:rsidRDefault="00DE11C9" w:rsidP="00DE11C9"/>
          <w:p w:rsidR="00DE11C9" w:rsidRPr="00DE11C9" w:rsidRDefault="00DE11C9" w:rsidP="00DE11C9"/>
          <w:p w:rsidR="00DE11C9" w:rsidRPr="00DE11C9" w:rsidRDefault="00DE11C9" w:rsidP="00DE11C9">
            <w:pPr>
              <w:jc w:val="center"/>
            </w:pP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Pr="00D42101" w:rsidRDefault="00DE11C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Cefokel </w:t>
            </w:r>
            <w:r w:rsidR="00B45732">
              <w:rPr>
                <w:sz w:val="20"/>
                <w:szCs w:val="20"/>
              </w:rPr>
              <w:t>50mg/ml suspension for injection</w:t>
            </w:r>
          </w:p>
        </w:tc>
        <w:tc>
          <w:tcPr>
            <w:tcW w:w="1701" w:type="dxa"/>
            <w:shd w:val="clear" w:color="auto" w:fill="auto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7C2C49" w:rsidRPr="00D42101" w:rsidRDefault="007C2C4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Ceftiofur HCL</w:t>
            </w:r>
          </w:p>
        </w:tc>
        <w:tc>
          <w:tcPr>
            <w:tcW w:w="2448" w:type="dxa"/>
          </w:tcPr>
          <w:p w:rsidR="00DE11C9" w:rsidRPr="00AA1A61" w:rsidRDefault="00DE11C9" w:rsidP="00DE11C9">
            <w:pPr>
              <w:rPr>
                <w:sz w:val="20"/>
                <w:szCs w:val="20"/>
              </w:rPr>
            </w:pPr>
          </w:p>
          <w:p w:rsidR="007C2C49" w:rsidRPr="00AA1A61" w:rsidRDefault="007C2C49" w:rsidP="007C2C49">
            <w:pPr>
              <w:rPr>
                <w:rFonts w:cs="Times New Roman"/>
                <w:sz w:val="20"/>
                <w:szCs w:val="20"/>
              </w:rPr>
            </w:pPr>
            <w:r w:rsidRPr="00AA1A6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Pigs: </w:t>
            </w:r>
            <w:r w:rsidRPr="00AA1A61">
              <w:rPr>
                <w:rFonts w:cs="Times New Roman"/>
                <w:sz w:val="20"/>
                <w:szCs w:val="20"/>
              </w:rPr>
              <w:t>Treatment of bacterial respiratory disease.</w:t>
            </w:r>
          </w:p>
          <w:p w:rsidR="007C2C49" w:rsidRPr="00AA1A61" w:rsidRDefault="007C2C49" w:rsidP="007C2C49">
            <w:pPr>
              <w:rPr>
                <w:rFonts w:cs="Times New Roman"/>
                <w:sz w:val="20"/>
                <w:szCs w:val="20"/>
              </w:rPr>
            </w:pPr>
            <w:r w:rsidRPr="00AA1A6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Cattle: </w:t>
            </w:r>
            <w:r w:rsidRPr="00AA1A61">
              <w:rPr>
                <w:rFonts w:cs="Times New Roman"/>
                <w:sz w:val="20"/>
                <w:szCs w:val="20"/>
              </w:rPr>
              <w:t>Treatment of bacterial resp. disease and footrot.</w:t>
            </w:r>
          </w:p>
          <w:p w:rsidR="007C2C49" w:rsidRPr="00AA1A61" w:rsidRDefault="007C2C49" w:rsidP="007C2C49">
            <w:pPr>
              <w:rPr>
                <w:sz w:val="20"/>
                <w:szCs w:val="20"/>
              </w:rPr>
            </w:pPr>
            <w:r w:rsidRPr="00AA1A61">
              <w:rPr>
                <w:rFonts w:cs="Times New Roman"/>
                <w:sz w:val="20"/>
                <w:szCs w:val="20"/>
              </w:rPr>
              <w:t>For the treatment of the bacterial component of acute post-partum</w:t>
            </w:r>
            <w:r w:rsidRPr="00AA1A61">
              <w:rPr>
                <w:sz w:val="20"/>
                <w:szCs w:val="20"/>
              </w:rPr>
              <w:t xml:space="preserve"> </w:t>
            </w:r>
            <w:r w:rsidRPr="00AA1A61">
              <w:rPr>
                <w:rFonts w:cs="Times New Roman"/>
                <w:sz w:val="20"/>
                <w:szCs w:val="20"/>
              </w:rPr>
              <w:t>(puerperal) metritis within 10 days after calving</w:t>
            </w:r>
          </w:p>
        </w:tc>
        <w:tc>
          <w:tcPr>
            <w:tcW w:w="2340" w:type="dxa"/>
          </w:tcPr>
          <w:p w:rsidR="00DE11C9" w:rsidRPr="00AA1A61" w:rsidRDefault="00DE11C9" w:rsidP="00DE11C9">
            <w:pPr>
              <w:rPr>
                <w:sz w:val="20"/>
                <w:szCs w:val="20"/>
              </w:rPr>
            </w:pPr>
          </w:p>
          <w:p w:rsidR="00B45732" w:rsidRPr="00AA1A61" w:rsidRDefault="00B45732" w:rsidP="00B45732">
            <w:pPr>
              <w:rPr>
                <w:rFonts w:cs="Times New Roman"/>
                <w:sz w:val="20"/>
                <w:szCs w:val="20"/>
              </w:rPr>
            </w:pPr>
            <w:r w:rsidRPr="00AA1A61">
              <w:rPr>
                <w:rFonts w:cs="Times New Roman"/>
                <w:sz w:val="20"/>
                <w:szCs w:val="20"/>
              </w:rPr>
              <w:t>Pigs: 3mg/kg, IM or 1 ml/16kg at each injection.</w:t>
            </w:r>
          </w:p>
          <w:p w:rsidR="00B45732" w:rsidRPr="00AA1A61" w:rsidRDefault="00B45732" w:rsidP="00B45732">
            <w:pPr>
              <w:rPr>
                <w:rFonts w:cs="Times New Roman"/>
                <w:sz w:val="20"/>
                <w:szCs w:val="20"/>
              </w:rPr>
            </w:pPr>
            <w:r w:rsidRPr="00AA1A61">
              <w:rPr>
                <w:rFonts w:cs="Times New Roman"/>
                <w:sz w:val="20"/>
                <w:szCs w:val="20"/>
              </w:rPr>
              <w:t>Cattle: Respiratory disease: 1mg /kg, SC.</w:t>
            </w:r>
          </w:p>
          <w:p w:rsidR="00B45732" w:rsidRPr="00AA1A61" w:rsidRDefault="00B45732" w:rsidP="00B45732">
            <w:pPr>
              <w:rPr>
                <w:rFonts w:cs="Times New Roman"/>
                <w:sz w:val="20"/>
                <w:szCs w:val="20"/>
              </w:rPr>
            </w:pPr>
            <w:r w:rsidRPr="00AA1A61">
              <w:rPr>
                <w:rFonts w:cs="Times New Roman"/>
                <w:sz w:val="20"/>
                <w:szCs w:val="20"/>
              </w:rPr>
              <w:t>Footrot: 1mg/kg SC injection.</w:t>
            </w:r>
          </w:p>
          <w:p w:rsidR="00B45732" w:rsidRPr="00AA1A61" w:rsidRDefault="00B45732" w:rsidP="00B45732">
            <w:pPr>
              <w:rPr>
                <w:rFonts w:cs="Times New Roman"/>
                <w:sz w:val="20"/>
                <w:szCs w:val="20"/>
              </w:rPr>
            </w:pPr>
            <w:r w:rsidRPr="00AA1A61">
              <w:rPr>
                <w:rFonts w:cs="Times New Roman"/>
                <w:sz w:val="20"/>
                <w:szCs w:val="20"/>
              </w:rPr>
              <w:t xml:space="preserve">Acute post-partum metritis within 10 days of calving: 1mg/kg for 5 consecutive days SC </w:t>
            </w:r>
          </w:p>
          <w:p w:rsidR="00B45732" w:rsidRPr="00AA1A61" w:rsidRDefault="00B45732" w:rsidP="00B45732">
            <w:pPr>
              <w:rPr>
                <w:sz w:val="20"/>
                <w:szCs w:val="20"/>
              </w:rPr>
            </w:pPr>
            <w:r w:rsidRPr="00AA1A61">
              <w:rPr>
                <w:rFonts w:cs="Times New Roman"/>
                <w:sz w:val="20"/>
                <w:szCs w:val="20"/>
              </w:rPr>
              <w:t>Sheep: 1.1mg - 2.2mg/kg IM</w:t>
            </w:r>
          </w:p>
        </w:tc>
        <w:tc>
          <w:tcPr>
            <w:tcW w:w="2250" w:type="dxa"/>
          </w:tcPr>
          <w:p w:rsidR="00DE11C9" w:rsidRPr="00AA1A61" w:rsidRDefault="00DE11C9" w:rsidP="00DE11C9">
            <w:pPr>
              <w:rPr>
                <w:sz w:val="20"/>
                <w:szCs w:val="20"/>
              </w:rPr>
            </w:pPr>
          </w:p>
          <w:p w:rsidR="00B45732" w:rsidRPr="00AA1A61" w:rsidRDefault="00B45732" w:rsidP="00DE11C9">
            <w:pPr>
              <w:rPr>
                <w:sz w:val="20"/>
                <w:szCs w:val="20"/>
              </w:rPr>
            </w:pPr>
            <w:r w:rsidRPr="00AA1A61">
              <w:rPr>
                <w:sz w:val="20"/>
                <w:szCs w:val="20"/>
              </w:rPr>
              <w:t>Do not administer to an animal previously found to be hypersensitive to ceftiofur and other β -lactam antibiotics. Do not inject intravenously.</w:t>
            </w:r>
          </w:p>
        </w:tc>
        <w:tc>
          <w:tcPr>
            <w:tcW w:w="2070" w:type="dxa"/>
          </w:tcPr>
          <w:p w:rsidR="00DE11C9" w:rsidRPr="00AA1A61" w:rsidRDefault="00DE11C9" w:rsidP="00DE11C9">
            <w:pPr>
              <w:rPr>
                <w:sz w:val="20"/>
                <w:szCs w:val="20"/>
              </w:rPr>
            </w:pPr>
          </w:p>
          <w:p w:rsidR="00B45732" w:rsidRPr="00AA1A61" w:rsidRDefault="00B45732" w:rsidP="00DE11C9">
            <w:pPr>
              <w:rPr>
                <w:sz w:val="20"/>
                <w:szCs w:val="20"/>
              </w:rPr>
            </w:pPr>
            <w:r w:rsidRPr="00AA1A61">
              <w:rPr>
                <w:sz w:val="20"/>
                <w:szCs w:val="20"/>
              </w:rPr>
              <w:t xml:space="preserve">Pigs: Meat and offal: 5 days. </w:t>
            </w:r>
          </w:p>
          <w:p w:rsidR="00B45732" w:rsidRPr="00AA1A61" w:rsidRDefault="00B45732" w:rsidP="00B45732">
            <w:pPr>
              <w:rPr>
                <w:sz w:val="20"/>
                <w:szCs w:val="20"/>
              </w:rPr>
            </w:pPr>
            <w:r w:rsidRPr="00AA1A61">
              <w:rPr>
                <w:sz w:val="20"/>
                <w:szCs w:val="20"/>
              </w:rPr>
              <w:t>Cattle: Meat and offal: 8 days. Milk: zero hours</w:t>
            </w:r>
          </w:p>
        </w:tc>
      </w:tr>
      <w:tr w:rsidR="00DE11C9" w:rsidTr="006210C4">
        <w:trPr>
          <w:trHeight w:val="3860"/>
        </w:trPr>
        <w:tc>
          <w:tcPr>
            <w:tcW w:w="2122" w:type="dxa"/>
          </w:tcPr>
          <w:p w:rsidR="00DE11C9" w:rsidRDefault="00DE11C9" w:rsidP="00DE11C9"/>
          <w:p w:rsidR="00DE11C9" w:rsidRPr="00A30979" w:rsidRDefault="00A61FA0" w:rsidP="00DE11C9">
            <w:pPr>
              <w:rPr>
                <w:vertAlign w:val="superscript"/>
              </w:rPr>
            </w:pPr>
            <w:r>
              <w:rPr>
                <w:noProof/>
              </w:rPr>
              <w:drawing>
                <wp:inline distT="0" distB="0" distL="0" distR="0">
                  <wp:extent cx="1186029" cy="1152525"/>
                  <wp:effectExtent l="0" t="0" r="0" b="0"/>
                  <wp:docPr id="8" name="Picture 8" descr="C:\Users\c\AppData\Local\Microsoft\Windows\INetCache\Content.Word\21272482_1901290669896271_25409224635722728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\AppData\Local\Microsoft\Windows\INetCache\Content.Word\21272482_1901290669896271_25409224635722728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24" cy="115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Default="00DE11C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Combikel </w:t>
            </w:r>
          </w:p>
          <w:p w:rsidR="00DE11C9" w:rsidRPr="00D42101" w:rsidRDefault="00DE11C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(available in 20 &amp; 40 L.A)</w:t>
            </w:r>
          </w:p>
        </w:tc>
        <w:tc>
          <w:tcPr>
            <w:tcW w:w="1701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A30979" w:rsidRPr="00D42101" w:rsidRDefault="00A3097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Procaine Benzyl- penicillin, Dihydrostreptomycin</w:t>
            </w:r>
          </w:p>
        </w:tc>
        <w:tc>
          <w:tcPr>
            <w:tcW w:w="2448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45732" w:rsidRPr="00D42101" w:rsidRDefault="00B45732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 tract infections</w:t>
            </w:r>
          </w:p>
        </w:tc>
        <w:tc>
          <w:tcPr>
            <w:tcW w:w="234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A30979" w:rsidRDefault="00A30979" w:rsidP="00C8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979">
              <w:rPr>
                <w:rFonts w:ascii="Times New Roman" w:hAnsi="Times New Roman" w:cs="Times New Roman"/>
                <w:sz w:val="20"/>
                <w:szCs w:val="20"/>
              </w:rPr>
              <w:t>40 LA:</w:t>
            </w:r>
            <w:r w:rsidR="00C82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79">
              <w:rPr>
                <w:rFonts w:ascii="Times New Roman" w:hAnsi="Times New Roman" w:cs="Times New Roman"/>
                <w:sz w:val="20"/>
                <w:szCs w:val="20"/>
              </w:rPr>
              <w:t>Cattle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5-10 </w:t>
            </w:r>
            <w:r w:rsidRPr="00A30979">
              <w:rPr>
                <w:rFonts w:ascii="Times New Roman" w:hAnsi="Times New Roman" w:cs="Times New Roman"/>
                <w:sz w:val="20"/>
                <w:szCs w:val="20"/>
              </w:rPr>
              <w:t>ml/kg.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979">
              <w:rPr>
                <w:rFonts w:ascii="Times New Roman" w:hAnsi="Times New Roman" w:cs="Times New Roman"/>
                <w:sz w:val="20"/>
                <w:szCs w:val="20"/>
              </w:rPr>
              <w:t>Horses, Pigs: 0.1ml/kg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0979">
              <w:rPr>
                <w:rFonts w:ascii="Times New Roman" w:hAnsi="Times New Roman" w:cs="Times New Roman"/>
                <w:sz w:val="20"/>
                <w:szCs w:val="20"/>
              </w:rPr>
              <w:t>IM or SC routes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used in both.</w:t>
            </w:r>
          </w:p>
          <w:p w:rsidR="00C82D40" w:rsidRPr="00A30979" w:rsidRDefault="00C82D40" w:rsidP="00C82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20LA: Horses, cattle, pigs 12.5ml/2kg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b.w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45732" w:rsidRPr="00D42101" w:rsidRDefault="00B45732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Hypersensitivity and renal insufficiency in patients</w:t>
            </w:r>
          </w:p>
        </w:tc>
        <w:tc>
          <w:tcPr>
            <w:tcW w:w="207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45732" w:rsidRDefault="00A3097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Slaughter 30 days</w:t>
            </w:r>
          </w:p>
          <w:p w:rsidR="00A30979" w:rsidRPr="00D42101" w:rsidRDefault="00A3097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Milk: 5 days after last application.</w:t>
            </w:r>
          </w:p>
        </w:tc>
      </w:tr>
      <w:tr w:rsidR="00DE11C9" w:rsidTr="006210C4">
        <w:trPr>
          <w:trHeight w:val="2258"/>
        </w:trPr>
        <w:tc>
          <w:tcPr>
            <w:tcW w:w="2122" w:type="dxa"/>
          </w:tcPr>
          <w:p w:rsidR="00DE11C9" w:rsidRPr="00BA5F99" w:rsidRDefault="00A61FA0" w:rsidP="00BA5F99"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190500</wp:posOffset>
                  </wp:positionV>
                  <wp:extent cx="1019175" cy="1358900"/>
                  <wp:effectExtent l="0" t="0" r="9525" b="0"/>
                  <wp:wrapThrough wrapText="bothSides">
                    <wp:wrapPolygon edited="0">
                      <wp:start x="0" y="0"/>
                      <wp:lineTo x="0" y="21196"/>
                      <wp:lineTo x="21398" y="21196"/>
                      <wp:lineTo x="21398" y="0"/>
                      <wp:lineTo x="0" y="0"/>
                    </wp:wrapPolygon>
                  </wp:wrapThrough>
                  <wp:docPr id="6" name="Picture 6" descr="C:\Users\c\AppData\Local\Microsoft\Windows\INetCache\Content.Word\21371101_1901290403229631_8079814859703735079_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\AppData\Local\Microsoft\Windows\INetCache\Content.Word\21371101_1901290403229631_8079814859703735079_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Pr="00D42101" w:rsidRDefault="00DE11C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Trisul-kel 240</w:t>
            </w:r>
          </w:p>
        </w:tc>
        <w:tc>
          <w:tcPr>
            <w:tcW w:w="1701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0D0014" w:rsidRDefault="000D0014" w:rsidP="000D0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Trimethoprim/ Sulf</w:t>
            </w: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methoxazole</w:t>
            </w:r>
          </w:p>
          <w:p w:rsidR="000D0014" w:rsidRPr="00D42101" w:rsidRDefault="000D0014" w:rsidP="00DE11C9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0D0014" w:rsidRPr="00D42101" w:rsidRDefault="000D0014" w:rsidP="00DE11C9">
            <w:pPr>
              <w:rPr>
                <w:sz w:val="20"/>
                <w:szCs w:val="20"/>
              </w:rPr>
            </w:pP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Used when a single antibiotic is not effective. Treats prostate infections and infections caused by methicillin-resistant staphylococci</w:t>
            </w:r>
          </w:p>
        </w:tc>
        <w:tc>
          <w:tcPr>
            <w:tcW w:w="234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0D0014" w:rsidRPr="00A61FA0" w:rsidRDefault="000D0014" w:rsidP="000D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A0">
              <w:rPr>
                <w:rFonts w:ascii="Times New Roman" w:hAnsi="Times New Roman" w:cs="Times New Roman"/>
                <w:sz w:val="20"/>
                <w:szCs w:val="20"/>
              </w:rPr>
              <w:t>Horses: 15-30 mg/kg, PO</w:t>
            </w:r>
          </w:p>
          <w:p w:rsidR="000D0014" w:rsidRPr="00A61FA0" w:rsidRDefault="000D0014" w:rsidP="000D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FA0">
              <w:rPr>
                <w:rFonts w:ascii="Times New Roman" w:hAnsi="Times New Roman" w:cs="Times New Roman"/>
                <w:sz w:val="20"/>
                <w:szCs w:val="20"/>
              </w:rPr>
              <w:t>Swine: 48mg/kg, IM</w:t>
            </w:r>
          </w:p>
          <w:p w:rsidR="000D0014" w:rsidRPr="00D42101" w:rsidRDefault="000D0014" w:rsidP="000D0014">
            <w:pPr>
              <w:rPr>
                <w:sz w:val="20"/>
                <w:szCs w:val="20"/>
              </w:rPr>
            </w:pPr>
            <w:r w:rsidRPr="00A61FA0">
              <w:rPr>
                <w:rFonts w:ascii="Times New Roman" w:hAnsi="Times New Roman" w:cs="Times New Roman"/>
                <w:sz w:val="20"/>
                <w:szCs w:val="20"/>
              </w:rPr>
              <w:t>Cattle</w:t>
            </w:r>
            <w:r w:rsidR="00AA1A61">
              <w:rPr>
                <w:rFonts w:ascii="Times New Roman" w:hAnsi="Times New Roman" w:cs="Times New Roman"/>
                <w:sz w:val="20"/>
                <w:szCs w:val="20"/>
              </w:rPr>
              <w:t xml:space="preserve">: 25mg/kg, IV, IM, </w:t>
            </w:r>
            <w:r w:rsidRPr="00A61FA0">
              <w:rPr>
                <w:rFonts w:ascii="Times New Roman" w:hAnsi="Times New Roman" w:cs="Times New Roman"/>
                <w:sz w:val="20"/>
                <w:szCs w:val="20"/>
              </w:rPr>
              <w:t>Calves: 48mg/kg IV/IM</w:t>
            </w:r>
          </w:p>
        </w:tc>
        <w:tc>
          <w:tcPr>
            <w:tcW w:w="225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0D0014" w:rsidRPr="00D42101" w:rsidRDefault="000D0014" w:rsidP="00DE11C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to be used in horses with liver parenchymal damage, blood dyscrasis, or history of sulfonamide sensitivity. Not to be used in animals intended for food</w:t>
            </w:r>
          </w:p>
        </w:tc>
        <w:tc>
          <w:tcPr>
            <w:tcW w:w="207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0D0014" w:rsidRDefault="000D0014" w:rsidP="000D0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F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61FA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14026">
              <w:rPr>
                <w:rFonts w:ascii="Times New Roman" w:hAnsi="Times New Roman" w:cs="Times New Roman"/>
                <w:sz w:val="20"/>
                <w:szCs w:val="20"/>
              </w:rPr>
              <w:t>Slaughter – 10days, Mil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king – 96hours.</w:t>
            </w:r>
          </w:p>
          <w:p w:rsidR="000D0014" w:rsidRPr="00D42101" w:rsidRDefault="000D0014" w:rsidP="000D0014">
            <w:pPr>
              <w:rPr>
                <w:sz w:val="20"/>
                <w:szCs w:val="20"/>
              </w:rPr>
            </w:pPr>
          </w:p>
        </w:tc>
      </w:tr>
      <w:tr w:rsidR="00DE11C9" w:rsidRPr="00D42101" w:rsidTr="006210C4">
        <w:trPr>
          <w:trHeight w:val="3770"/>
        </w:trPr>
        <w:tc>
          <w:tcPr>
            <w:tcW w:w="2122" w:type="dxa"/>
          </w:tcPr>
          <w:p w:rsidR="00A61FA0" w:rsidRDefault="00A61FA0" w:rsidP="00DE11C9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C0EDE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276225</wp:posOffset>
                  </wp:positionV>
                  <wp:extent cx="1295400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282" y="21176"/>
                      <wp:lineTo x="21282" y="0"/>
                      <wp:lineTo x="0" y="0"/>
                    </wp:wrapPolygon>
                  </wp:wrapThrough>
                  <wp:docPr id="10" name="Picture 10" descr="Image result for anfl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anfl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Default="00DE11C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Anflox 10%</w:t>
            </w:r>
          </w:p>
          <w:p w:rsidR="00DE11C9" w:rsidRDefault="00DE11C9" w:rsidP="00DE11C9">
            <w:pPr>
              <w:jc w:val="center"/>
              <w:rPr>
                <w:sz w:val="20"/>
                <w:szCs w:val="20"/>
              </w:rPr>
            </w:pPr>
          </w:p>
          <w:p w:rsidR="00DE11C9" w:rsidRPr="00DE11C9" w:rsidRDefault="00DE11C9" w:rsidP="00DE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C61AA4" w:rsidRPr="00D83886" w:rsidRDefault="00C82D40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Norfloxacin</w:t>
            </w:r>
          </w:p>
        </w:tc>
        <w:tc>
          <w:tcPr>
            <w:tcW w:w="2448" w:type="dxa"/>
          </w:tcPr>
          <w:p w:rsidR="00DE11C9" w:rsidRPr="00204A8B" w:rsidRDefault="00DE11C9" w:rsidP="00DE11C9">
            <w:pPr>
              <w:rPr>
                <w:sz w:val="20"/>
                <w:szCs w:val="20"/>
              </w:rPr>
            </w:pPr>
          </w:p>
          <w:p w:rsidR="00204A8B" w:rsidRPr="00204A8B" w:rsidRDefault="00204A8B" w:rsidP="00DE11C9">
            <w:pPr>
              <w:rPr>
                <w:sz w:val="20"/>
                <w:szCs w:val="20"/>
              </w:rPr>
            </w:pPr>
            <w:r w:rsidRPr="00204A8B">
              <w:rPr>
                <w:sz w:val="20"/>
                <w:szCs w:val="20"/>
              </w:rPr>
              <w:t>Active against Gram-positive and Gram-negative bacteria and mycoplasma</w:t>
            </w:r>
          </w:p>
          <w:p w:rsidR="00C82D40" w:rsidRPr="00204A8B" w:rsidRDefault="00C82D40" w:rsidP="00DE11C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E11C9" w:rsidRPr="00204A8B" w:rsidRDefault="00DE11C9" w:rsidP="00DE11C9">
            <w:pPr>
              <w:rPr>
                <w:sz w:val="20"/>
                <w:szCs w:val="20"/>
              </w:rPr>
            </w:pPr>
          </w:p>
          <w:p w:rsidR="00204A8B" w:rsidRPr="00204A8B" w:rsidRDefault="00D46785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Cattle:10mg/kg/</w:t>
            </w:r>
            <w:proofErr w:type="spellStart"/>
            <w:proofErr w:type="gramStart"/>
            <w:r>
              <w:rPr>
                <w:sz w:val="20"/>
                <w:szCs w:val="20"/>
              </w:rPr>
              <w:t>b.w</w:t>
            </w:r>
            <w:proofErr w:type="spellEnd"/>
            <w:proofErr w:type="gramEnd"/>
          </w:p>
        </w:tc>
        <w:tc>
          <w:tcPr>
            <w:tcW w:w="2250" w:type="dxa"/>
          </w:tcPr>
          <w:p w:rsidR="00DE11C9" w:rsidRPr="00204A8B" w:rsidRDefault="00DE11C9" w:rsidP="00DE11C9">
            <w:pPr>
              <w:rPr>
                <w:sz w:val="20"/>
                <w:szCs w:val="20"/>
              </w:rPr>
            </w:pPr>
          </w:p>
          <w:p w:rsidR="00204A8B" w:rsidRPr="00204A8B" w:rsidRDefault="00204A8B" w:rsidP="00204A8B">
            <w:pPr>
              <w:spacing w:after="0" w:line="240" w:lineRule="auto"/>
              <w:rPr>
                <w:sz w:val="20"/>
                <w:szCs w:val="20"/>
              </w:rPr>
            </w:pPr>
            <w:r w:rsidRPr="00204A8B">
              <w:rPr>
                <w:sz w:val="20"/>
                <w:szCs w:val="20"/>
              </w:rPr>
              <w:t xml:space="preserve">Do not use in case of hypersensitivity to the product and with </w:t>
            </w:r>
            <w:proofErr w:type="gramStart"/>
            <w:r w:rsidRPr="00204A8B">
              <w:rPr>
                <w:sz w:val="20"/>
                <w:szCs w:val="20"/>
              </w:rPr>
              <w:t>other</w:t>
            </w:r>
            <w:proofErr w:type="gramEnd"/>
            <w:r w:rsidRPr="00204A8B">
              <w:rPr>
                <w:sz w:val="20"/>
                <w:szCs w:val="20"/>
              </w:rPr>
              <w:t xml:space="preserve"> quinolone antibiotics group.</w:t>
            </w:r>
          </w:p>
          <w:p w:rsidR="00204A8B" w:rsidRPr="00204A8B" w:rsidRDefault="00204A8B" w:rsidP="00DE11C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E11C9" w:rsidRPr="00204A8B" w:rsidRDefault="00DE11C9" w:rsidP="00DE11C9">
            <w:pPr>
              <w:rPr>
                <w:sz w:val="20"/>
                <w:szCs w:val="20"/>
              </w:rPr>
            </w:pPr>
          </w:p>
          <w:p w:rsidR="00204A8B" w:rsidRPr="00204A8B" w:rsidRDefault="00204A8B" w:rsidP="00204A8B">
            <w:pPr>
              <w:rPr>
                <w:sz w:val="20"/>
                <w:szCs w:val="20"/>
              </w:rPr>
            </w:pPr>
            <w:r w:rsidRPr="00204A8B">
              <w:rPr>
                <w:sz w:val="20"/>
                <w:szCs w:val="20"/>
              </w:rPr>
              <w:t>Meat: 4 days</w:t>
            </w:r>
          </w:p>
          <w:p w:rsidR="00204A8B" w:rsidRPr="00204A8B" w:rsidRDefault="00204A8B" w:rsidP="00204A8B">
            <w:pPr>
              <w:rPr>
                <w:sz w:val="20"/>
                <w:szCs w:val="20"/>
              </w:rPr>
            </w:pPr>
            <w:r w:rsidRPr="00204A8B">
              <w:rPr>
                <w:sz w:val="20"/>
                <w:szCs w:val="20"/>
              </w:rPr>
              <w:t>Milk: 4 days</w:t>
            </w:r>
          </w:p>
        </w:tc>
      </w:tr>
      <w:tr w:rsidR="00DE11C9" w:rsidRPr="00D42101" w:rsidTr="006210C4">
        <w:trPr>
          <w:trHeight w:val="3770"/>
        </w:trPr>
        <w:tc>
          <w:tcPr>
            <w:tcW w:w="2122" w:type="dxa"/>
          </w:tcPr>
          <w:p w:rsidR="00DE11C9" w:rsidRDefault="00DE11C9" w:rsidP="00DE11C9"/>
          <w:p w:rsidR="00A61FA0" w:rsidRDefault="00A61FA0" w:rsidP="00DE11C9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32385</wp:posOffset>
                  </wp:positionV>
                  <wp:extent cx="680085" cy="1301764"/>
                  <wp:effectExtent l="0" t="0" r="5715" b="0"/>
                  <wp:wrapThrough wrapText="bothSides">
                    <wp:wrapPolygon edited="0">
                      <wp:start x="0" y="0"/>
                      <wp:lineTo x="0" y="21179"/>
                      <wp:lineTo x="21176" y="21179"/>
                      <wp:lineTo x="21176" y="0"/>
                      <wp:lineTo x="0" y="0"/>
                    </wp:wrapPolygon>
                  </wp:wrapThrough>
                  <wp:docPr id="12" name="Picture 12" descr="C:\Users\c\AppData\Local\Microsoft\Windows\INetCache\Content.Word\21369573_1901290433229628_1924951492446341616_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\AppData\Local\Microsoft\Windows\INetCache\Content.Word\21369573_1901290433229628_1924951492446341616_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30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Pr="00D83886" w:rsidRDefault="00DE11C9" w:rsidP="00DE11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Enroflox</w:t>
            </w:r>
            <w:proofErr w:type="spellEnd"/>
            <w:r>
              <w:rPr>
                <w:sz w:val="20"/>
                <w:szCs w:val="20"/>
              </w:rPr>
              <w:t xml:space="preserve"> 8%</w:t>
            </w:r>
          </w:p>
        </w:tc>
        <w:tc>
          <w:tcPr>
            <w:tcW w:w="1701" w:type="dxa"/>
            <w:shd w:val="clear" w:color="auto" w:fill="auto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E96967" w:rsidRPr="00D83886" w:rsidRDefault="00204A8B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Enrofloxacin</w:t>
            </w:r>
          </w:p>
        </w:tc>
        <w:tc>
          <w:tcPr>
            <w:tcW w:w="2448" w:type="dxa"/>
          </w:tcPr>
          <w:p w:rsidR="00204A8B" w:rsidRDefault="00204A8B" w:rsidP="00DE11C9">
            <w:pPr>
              <w:rPr>
                <w:sz w:val="20"/>
                <w:szCs w:val="20"/>
              </w:rPr>
            </w:pPr>
          </w:p>
          <w:p w:rsidR="00204A8B" w:rsidRPr="00204A8B" w:rsidRDefault="00204A8B" w:rsidP="00DE11C9">
            <w:pPr>
              <w:rPr>
                <w:sz w:val="20"/>
                <w:szCs w:val="20"/>
              </w:rPr>
            </w:pPr>
            <w:r w:rsidRPr="00204A8B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 xml:space="preserve">Gastrointestinal and respiratory infections caused by enrofloxacin sensitive micro-organisms, like Campylobacter, E. coli, </w:t>
            </w:r>
            <w:proofErr w:type="spellStart"/>
            <w:r w:rsidRPr="00204A8B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Haemophilus</w:t>
            </w:r>
            <w:proofErr w:type="spellEnd"/>
            <w:r w:rsidRPr="00204A8B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, Mycoplasma, Pasteurella and Salmonella spp. in calves, cattle, sheep, goats and swine.</w:t>
            </w:r>
          </w:p>
        </w:tc>
        <w:tc>
          <w:tcPr>
            <w:tcW w:w="2340" w:type="dxa"/>
          </w:tcPr>
          <w:p w:rsidR="00DE11C9" w:rsidRPr="00325650" w:rsidRDefault="00DE11C9" w:rsidP="00DE11C9">
            <w:pPr>
              <w:rPr>
                <w:sz w:val="20"/>
                <w:szCs w:val="20"/>
              </w:rPr>
            </w:pPr>
          </w:p>
          <w:p w:rsidR="00204A8B" w:rsidRPr="00325650" w:rsidRDefault="008D0CD8" w:rsidP="00DE11C9">
            <w:pPr>
              <w:rPr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Calves, cattle, sheep and goats</w:t>
            </w:r>
            <w:r w:rsidR="00325650" w:rsidRPr="0032565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: 1 ml per 20 - 40 kg b</w:t>
            </w:r>
            <w:r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 xml:space="preserve">ody weight for 3 - 5 days </w:t>
            </w:r>
            <w:proofErr w:type="gramStart"/>
            <w:r w:rsidR="00D46785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IM,SC</w:t>
            </w:r>
            <w:proofErr w:type="gramEnd"/>
            <w:r w:rsidR="009D72C1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 xml:space="preserve">                         </w:t>
            </w:r>
            <w:r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Swine</w:t>
            </w:r>
            <w:r w:rsidR="00325650" w:rsidRPr="00325650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: 1 ml per 20 - 40 kg body weight for 3 - 5 days.</w:t>
            </w:r>
          </w:p>
        </w:tc>
        <w:tc>
          <w:tcPr>
            <w:tcW w:w="225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204A8B" w:rsidRPr="00D83886" w:rsidRDefault="00325650" w:rsidP="00DE11C9">
            <w:pPr>
              <w:rPr>
                <w:sz w:val="20"/>
                <w:szCs w:val="20"/>
              </w:rPr>
            </w:pPr>
            <w:r w:rsidRPr="00204A8B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 xml:space="preserve">Hypersensitivity to enrofloxacin. Administration to animals with a seriously impaired hepatic and/or renal function. Concurrent administration of tetracyclines, chloramphenicol, macrolides and </w:t>
            </w:r>
            <w:proofErr w:type="spellStart"/>
            <w:r w:rsidRPr="00204A8B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lincosamides</w:t>
            </w:r>
            <w:proofErr w:type="spellEnd"/>
            <w:r w:rsidRPr="00204A8B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DE11C9" w:rsidRPr="008D0CD8" w:rsidRDefault="00DE11C9" w:rsidP="00DE11C9">
            <w:pPr>
              <w:rPr>
                <w:sz w:val="20"/>
                <w:szCs w:val="20"/>
              </w:rPr>
            </w:pPr>
          </w:p>
          <w:p w:rsidR="00325650" w:rsidRPr="008D0CD8" w:rsidRDefault="00325650" w:rsidP="00DE11C9">
            <w:pPr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</w:pPr>
            <w:r w:rsidRPr="008D0CD8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Meat: Calves, cattle, sheep and goat: 21 days. Swine: 14 days</w:t>
            </w:r>
          </w:p>
          <w:p w:rsidR="00325650" w:rsidRPr="008D0CD8" w:rsidRDefault="008D0CD8" w:rsidP="00DE11C9">
            <w:pPr>
              <w:rPr>
                <w:sz w:val="20"/>
                <w:szCs w:val="20"/>
              </w:rPr>
            </w:pPr>
            <w:r w:rsidRPr="008D0CD8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ilk</w:t>
            </w:r>
            <w:r w:rsidRPr="008D0CD8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>:</w:t>
            </w:r>
            <w:r w:rsidR="00325650" w:rsidRPr="008D0CD8">
              <w:rPr>
                <w:rFonts w:cs="Arial"/>
                <w:color w:val="262626"/>
                <w:sz w:val="20"/>
                <w:szCs w:val="20"/>
                <w:shd w:val="clear" w:color="auto" w:fill="FFFFFF"/>
              </w:rPr>
              <w:t xml:space="preserve"> 4 days.</w:t>
            </w:r>
          </w:p>
        </w:tc>
      </w:tr>
      <w:tr w:rsidR="00DE11C9" w:rsidRPr="00D42101" w:rsidTr="006210C4">
        <w:trPr>
          <w:trHeight w:val="3770"/>
        </w:trPr>
        <w:tc>
          <w:tcPr>
            <w:tcW w:w="2122" w:type="dxa"/>
          </w:tcPr>
          <w:p w:rsidR="00DE11C9" w:rsidRDefault="00A61FA0" w:rsidP="00DE11C9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123825</wp:posOffset>
                  </wp:positionV>
                  <wp:extent cx="885825" cy="1500116"/>
                  <wp:effectExtent l="0" t="0" r="0" b="5080"/>
                  <wp:wrapThrough wrapText="bothSides">
                    <wp:wrapPolygon edited="0">
                      <wp:start x="0" y="0"/>
                      <wp:lineTo x="0" y="21399"/>
                      <wp:lineTo x="20903" y="21399"/>
                      <wp:lineTo x="20903" y="0"/>
                      <wp:lineTo x="0" y="0"/>
                    </wp:wrapPolygon>
                  </wp:wrapThrough>
                  <wp:docPr id="13" name="Picture 13" descr="C:\Users\c\AppData\Local\Microsoft\Windows\INetCache\Content.Word\21272482_1901290669896271_254092246357227287_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\AppData\Local\Microsoft\Windows\INetCache\Content.Word\21272482_1901290669896271_254092246357227287_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500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FA0" w:rsidRDefault="00A61FA0" w:rsidP="00DE11C9"/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Pr="00D83886" w:rsidRDefault="00135364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Oxyt</w:t>
            </w:r>
            <w:r w:rsidR="00DE11C9">
              <w:rPr>
                <w:sz w:val="20"/>
                <w:szCs w:val="20"/>
              </w:rPr>
              <w:t xml:space="preserve">et 19% </w:t>
            </w:r>
            <w:proofErr w:type="gramStart"/>
            <w:r w:rsidR="00DE11C9">
              <w:rPr>
                <w:sz w:val="20"/>
                <w:szCs w:val="20"/>
              </w:rPr>
              <w:t>L.A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A5F99" w:rsidRPr="00D83886" w:rsidRDefault="00BA5F9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Oxytetracycline </w:t>
            </w:r>
          </w:p>
        </w:tc>
        <w:tc>
          <w:tcPr>
            <w:tcW w:w="2448" w:type="dxa"/>
          </w:tcPr>
          <w:p w:rsidR="00DE11C9" w:rsidRPr="00BA5F99" w:rsidRDefault="00DE11C9" w:rsidP="00DE11C9">
            <w:pPr>
              <w:rPr>
                <w:sz w:val="20"/>
                <w:szCs w:val="20"/>
              </w:rPr>
            </w:pPr>
          </w:p>
          <w:p w:rsidR="00BA5F99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A sterile injection for subcutaneous or</w:t>
            </w:r>
          </w:p>
          <w:p w:rsidR="00BA5F99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intramuscular use with cattle, calves, pigs,</w:t>
            </w:r>
          </w:p>
          <w:p w:rsidR="00BA5F99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sheep and goats. It has a broad spectrum</w:t>
            </w:r>
          </w:p>
          <w:p w:rsidR="00BA5F99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activity against a range of Gram (+) and</w:t>
            </w:r>
          </w:p>
          <w:p w:rsidR="00C82D40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Gram (-) bacteria.</w:t>
            </w:r>
          </w:p>
        </w:tc>
        <w:tc>
          <w:tcPr>
            <w:tcW w:w="234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A5F99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1ml per 1 0 kg bodyweight</w:t>
            </w:r>
          </w:p>
          <w:p w:rsidR="00BA5F99" w:rsidRPr="00BA5F99" w:rsidRDefault="00BA5F99" w:rsidP="00BA5F99">
            <w:pPr>
              <w:autoSpaceDE w:val="0"/>
              <w:autoSpaceDN w:val="0"/>
              <w:adjustRightInd w:val="0"/>
              <w:spacing w:after="0" w:line="240" w:lineRule="auto"/>
              <w:rPr>
                <w:rFonts w:cs="T3Font_0"/>
                <w:color w:val="161413"/>
                <w:sz w:val="20"/>
                <w:szCs w:val="20"/>
                <w:lang w:val="en-TT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 xml:space="preserve">Cattle: 20 ml </w:t>
            </w:r>
            <w:r>
              <w:rPr>
                <w:rFonts w:cs="T3Font_0"/>
                <w:color w:val="161413"/>
                <w:sz w:val="20"/>
                <w:szCs w:val="20"/>
                <w:lang w:val="en-TT"/>
              </w:rPr>
              <w:t xml:space="preserve">         </w:t>
            </w: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 xml:space="preserve">       Pigs: 1 0 ml</w:t>
            </w:r>
          </w:p>
          <w:p w:rsidR="00BA5F99" w:rsidRPr="00D83886" w:rsidRDefault="00BA5F99" w:rsidP="00BA5F99">
            <w:pPr>
              <w:rPr>
                <w:sz w:val="20"/>
                <w:szCs w:val="20"/>
              </w:rPr>
            </w:pPr>
            <w:r w:rsidRPr="00BA5F99">
              <w:rPr>
                <w:rFonts w:cs="T3Font_0"/>
                <w:color w:val="161413"/>
                <w:sz w:val="20"/>
                <w:szCs w:val="20"/>
                <w:lang w:val="en-TT"/>
              </w:rPr>
              <w:t>Calves: 5 ml</w:t>
            </w:r>
          </w:p>
        </w:tc>
        <w:tc>
          <w:tcPr>
            <w:tcW w:w="225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A5F99" w:rsidRPr="00BA5F99" w:rsidRDefault="00BA5F99" w:rsidP="00DE11C9">
            <w:pPr>
              <w:rPr>
                <w:sz w:val="20"/>
                <w:szCs w:val="20"/>
              </w:rPr>
            </w:pPr>
            <w:r w:rsidRPr="00BA5F99">
              <w:rPr>
                <w:rFonts w:cs="Times New Roman"/>
                <w:sz w:val="20"/>
                <w:szCs w:val="20"/>
              </w:rPr>
              <w:t>Hypersensitivity reactions to tetracycline. Pregnant animals. Liver and renal insufficient patients. Lactating animals</w:t>
            </w:r>
          </w:p>
        </w:tc>
        <w:tc>
          <w:tcPr>
            <w:tcW w:w="207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BA5F99" w:rsidRPr="00D42101" w:rsidRDefault="00BA5F99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days for slaughter</w:t>
            </w:r>
          </w:p>
        </w:tc>
      </w:tr>
      <w:tr w:rsidR="00DE11C9" w:rsidRPr="00D42101" w:rsidTr="006210C4">
        <w:trPr>
          <w:trHeight w:val="3770"/>
        </w:trPr>
        <w:tc>
          <w:tcPr>
            <w:tcW w:w="2122" w:type="dxa"/>
          </w:tcPr>
          <w:p w:rsidR="00DE11C9" w:rsidRPr="00D83886" w:rsidRDefault="00135364" w:rsidP="00DE11C9"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127000</wp:posOffset>
                  </wp:positionV>
                  <wp:extent cx="1208405" cy="1628775"/>
                  <wp:effectExtent l="0" t="0" r="0" b="9525"/>
                  <wp:wrapThrough wrapText="bothSides">
                    <wp:wrapPolygon edited="0">
                      <wp:start x="0" y="0"/>
                      <wp:lineTo x="0" y="21474"/>
                      <wp:lineTo x="21112" y="21474"/>
                      <wp:lineTo x="21112" y="0"/>
                      <wp:lineTo x="0" y="0"/>
                    </wp:wrapPolygon>
                  </wp:wrapThrough>
                  <wp:docPr id="14" name="Picture 14" descr="C:\Users\c\AppData\Local\Microsoft\Windows\INetCache\Content.Word\21270994_1901290633229608_4679162825059674224_n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\AppData\Local\Microsoft\Windows\INetCache\Content.Word\21270994_1901290633229608_4679162825059674224_n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Pr="00D83886" w:rsidRDefault="00DE11C9" w:rsidP="00DE11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Tylosin</w:t>
            </w:r>
            <w:proofErr w:type="spellEnd"/>
            <w:r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701" w:type="dxa"/>
            <w:shd w:val="clear" w:color="auto" w:fill="auto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64227F" w:rsidRPr="00F80843" w:rsidRDefault="00F80843" w:rsidP="00DE11C9">
            <w:pPr>
              <w:rPr>
                <w:sz w:val="20"/>
                <w:szCs w:val="20"/>
              </w:rPr>
            </w:pPr>
            <w:proofErr w:type="spellStart"/>
            <w:r w:rsidRPr="00F80843">
              <w:rPr>
                <w:rFonts w:cs="Times New Roman"/>
                <w:sz w:val="20"/>
                <w:szCs w:val="20"/>
              </w:rPr>
              <w:t>Tylosin</w:t>
            </w:r>
            <w:proofErr w:type="spellEnd"/>
            <w:r w:rsidRPr="00F80843">
              <w:rPr>
                <w:rFonts w:cs="Times New Roman"/>
                <w:sz w:val="20"/>
                <w:szCs w:val="20"/>
              </w:rPr>
              <w:t xml:space="preserve"> Tartrate</w:t>
            </w:r>
          </w:p>
          <w:p w:rsidR="0064227F" w:rsidRPr="00D83886" w:rsidRDefault="0064227F" w:rsidP="00DE11C9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DE11C9" w:rsidRPr="0064227F" w:rsidRDefault="00DE11C9" w:rsidP="00DE11C9">
            <w:pPr>
              <w:rPr>
                <w:sz w:val="20"/>
                <w:szCs w:val="20"/>
              </w:rPr>
            </w:pPr>
          </w:p>
          <w:p w:rsidR="0064227F" w:rsidRPr="0064227F" w:rsidRDefault="0064227F" w:rsidP="0064227F">
            <w:pPr>
              <w:shd w:val="clear" w:color="auto" w:fill="FFFFFF"/>
              <w:spacing w:after="240" w:line="240" w:lineRule="auto"/>
              <w:rPr>
                <w:rFonts w:eastAsia="Times New Roman" w:cs="Segoe UI"/>
                <w:sz w:val="20"/>
                <w:szCs w:val="20"/>
                <w:lang w:val="en-TT" w:eastAsia="en-TT"/>
              </w:rPr>
            </w:pPr>
            <w:r w:rsidRPr="00F80843">
              <w:rPr>
                <w:rFonts w:eastAsia="Times New Roman" w:cs="Segoe UI"/>
                <w:sz w:val="20"/>
                <w:szCs w:val="20"/>
                <w:lang w:val="en-TT" w:eastAsia="en-TT"/>
              </w:rPr>
              <w:t>F</w:t>
            </w:r>
            <w:r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>or use in the treatment of bovine respiratory complex (shipping fever, pneumonia) usually associated with </w:t>
            </w:r>
            <w:r w:rsidRPr="0064227F">
              <w:rPr>
                <w:rFonts w:eastAsia="Times New Roman" w:cs="Segoe UI"/>
                <w:iCs/>
                <w:sz w:val="20"/>
                <w:szCs w:val="20"/>
                <w:lang w:val="en-TT" w:eastAsia="en-TT"/>
              </w:rPr>
              <w:t xml:space="preserve">Pasteurella </w:t>
            </w:r>
            <w:r w:rsidR="002A06A3">
              <w:rPr>
                <w:rFonts w:eastAsia="Times New Roman" w:cs="Segoe UI"/>
                <w:iCs/>
                <w:sz w:val="20"/>
                <w:szCs w:val="20"/>
                <w:lang w:val="en-TT" w:eastAsia="en-TT"/>
              </w:rPr>
              <w:t>spp</w:t>
            </w:r>
            <w:r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> and </w:t>
            </w:r>
            <w:r w:rsidRPr="00F80843">
              <w:rPr>
                <w:rFonts w:eastAsia="Times New Roman" w:cs="Segoe UI"/>
                <w:iCs/>
                <w:sz w:val="20"/>
                <w:szCs w:val="20"/>
                <w:lang w:val="en-TT" w:eastAsia="en-TT"/>
              </w:rPr>
              <w:t xml:space="preserve">Actinomyces pyogenes in </w:t>
            </w:r>
            <w:r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>beef cattle and nonlactating dairy cattle.</w:t>
            </w:r>
          </w:p>
          <w:p w:rsidR="0064227F" w:rsidRPr="0064227F" w:rsidRDefault="0064227F" w:rsidP="0064227F">
            <w:pPr>
              <w:shd w:val="clear" w:color="auto" w:fill="FFFFFF"/>
              <w:spacing w:after="240" w:line="240" w:lineRule="auto"/>
              <w:rPr>
                <w:rFonts w:eastAsia="Times New Roman" w:cs="Segoe UI"/>
                <w:sz w:val="20"/>
                <w:szCs w:val="20"/>
                <w:lang w:val="en-TT" w:eastAsia="en-TT"/>
              </w:rPr>
            </w:pPr>
            <w:r w:rsidRPr="00F80843">
              <w:rPr>
                <w:rFonts w:eastAsia="Times New Roman" w:cs="Segoe UI"/>
                <w:sz w:val="20"/>
                <w:szCs w:val="20"/>
                <w:lang w:val="en-TT" w:eastAsia="en-TT"/>
              </w:rPr>
              <w:t>Swine:</w:t>
            </w:r>
            <w:r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 xml:space="preserve"> use</w:t>
            </w:r>
            <w:r w:rsidRPr="00F80843">
              <w:rPr>
                <w:rFonts w:eastAsia="Times New Roman" w:cs="Segoe UI"/>
                <w:sz w:val="20"/>
                <w:szCs w:val="20"/>
                <w:lang w:val="en-TT" w:eastAsia="en-TT"/>
              </w:rPr>
              <w:t>d</w:t>
            </w:r>
            <w:r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 xml:space="preserve"> in the treatment of swine arthritis caused by </w:t>
            </w:r>
            <w:r w:rsidRPr="0064227F">
              <w:rPr>
                <w:rFonts w:eastAsia="Times New Roman" w:cs="Segoe UI"/>
                <w:iCs/>
                <w:sz w:val="20"/>
                <w:szCs w:val="20"/>
                <w:lang w:val="en-TT" w:eastAsia="en-TT"/>
              </w:rPr>
              <w:t xml:space="preserve">Mycoplasma </w:t>
            </w:r>
            <w:r w:rsidR="002A06A3">
              <w:rPr>
                <w:rFonts w:eastAsia="Times New Roman" w:cs="Segoe UI"/>
                <w:iCs/>
                <w:sz w:val="20"/>
                <w:szCs w:val="20"/>
                <w:lang w:val="en-TT" w:eastAsia="en-TT"/>
              </w:rPr>
              <w:t>spp</w:t>
            </w:r>
            <w:r w:rsidRPr="00F80843">
              <w:rPr>
                <w:rFonts w:eastAsia="Times New Roman" w:cs="Segoe UI"/>
                <w:i/>
                <w:iCs/>
                <w:sz w:val="20"/>
                <w:szCs w:val="20"/>
                <w:lang w:val="en-TT" w:eastAsia="en-TT"/>
              </w:rPr>
              <w:t>.</w:t>
            </w:r>
          </w:p>
          <w:p w:rsidR="0064227F" w:rsidRPr="0064227F" w:rsidRDefault="0064227F" w:rsidP="00DE11C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64227F" w:rsidRPr="0064227F" w:rsidRDefault="0064227F" w:rsidP="0064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27F">
              <w:rPr>
                <w:rFonts w:ascii="Times New Roman" w:hAnsi="Times New Roman" w:cs="Times New Roman"/>
                <w:sz w:val="20"/>
                <w:szCs w:val="20"/>
              </w:rPr>
              <w:t>Cattle: 17.6mg/kg IM daily. Bronchonpneumonia – 4mg/kg</w:t>
            </w:r>
          </w:p>
          <w:p w:rsidR="0064227F" w:rsidRPr="0064227F" w:rsidRDefault="0064227F" w:rsidP="0064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27F">
              <w:rPr>
                <w:rFonts w:ascii="Times New Roman" w:hAnsi="Times New Roman" w:cs="Times New Roman"/>
                <w:sz w:val="20"/>
                <w:szCs w:val="20"/>
              </w:rPr>
              <w:t>Swine: 8.8mg/kg IM q12</w:t>
            </w:r>
          </w:p>
          <w:p w:rsidR="0064227F" w:rsidRPr="00D83886" w:rsidRDefault="0064227F" w:rsidP="0064227F">
            <w:pPr>
              <w:rPr>
                <w:sz w:val="20"/>
                <w:szCs w:val="20"/>
              </w:rPr>
            </w:pPr>
            <w:r w:rsidRPr="0064227F">
              <w:rPr>
                <w:rFonts w:ascii="Times New Roman" w:hAnsi="Times New Roman" w:cs="Times New Roman"/>
                <w:sz w:val="20"/>
                <w:szCs w:val="20"/>
              </w:rPr>
              <w:t>Sheep &amp; goats:  10mg/kg SC</w:t>
            </w:r>
          </w:p>
        </w:tc>
        <w:tc>
          <w:tcPr>
            <w:tcW w:w="225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F80843" w:rsidRDefault="00F80843" w:rsidP="0064227F">
            <w:pPr>
              <w:shd w:val="clear" w:color="auto" w:fill="FFFFFF"/>
              <w:spacing w:after="240" w:line="240" w:lineRule="auto"/>
              <w:rPr>
                <w:rFonts w:eastAsia="Times New Roman" w:cs="Segoe UI"/>
                <w:sz w:val="20"/>
                <w:szCs w:val="20"/>
                <w:lang w:val="en-TT" w:eastAsia="en-TT"/>
              </w:rPr>
            </w:pPr>
            <w:r>
              <w:rPr>
                <w:rFonts w:eastAsia="Times New Roman" w:cs="Segoe UI"/>
                <w:sz w:val="20"/>
                <w:szCs w:val="20"/>
                <w:lang w:val="en-TT" w:eastAsia="en-TT"/>
              </w:rPr>
              <w:t xml:space="preserve">Do not mix </w:t>
            </w:r>
            <w:r w:rsidR="0064227F"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 xml:space="preserve">with other injectable solutions as this may cause precipitation of the active ingredients. </w:t>
            </w:r>
          </w:p>
          <w:p w:rsidR="0064227F" w:rsidRPr="0064227F" w:rsidRDefault="00F80843" w:rsidP="0064227F">
            <w:pPr>
              <w:shd w:val="clear" w:color="auto" w:fill="FFFFFF"/>
              <w:spacing w:after="240" w:line="240" w:lineRule="auto"/>
              <w:rPr>
                <w:rFonts w:eastAsia="Times New Roman" w:cs="Segoe UI"/>
                <w:sz w:val="20"/>
                <w:szCs w:val="20"/>
                <w:lang w:val="en-TT" w:eastAsia="en-TT"/>
              </w:rPr>
            </w:pPr>
            <w:r>
              <w:rPr>
                <w:rFonts w:eastAsia="Times New Roman" w:cs="Segoe UI"/>
                <w:sz w:val="20"/>
                <w:szCs w:val="20"/>
                <w:lang w:val="en-TT" w:eastAsia="en-TT"/>
              </w:rPr>
              <w:t>Fatal in horses</w:t>
            </w:r>
            <w:r w:rsidR="0064227F" w:rsidRPr="0064227F">
              <w:rPr>
                <w:rFonts w:eastAsia="Times New Roman" w:cs="Segoe UI"/>
                <w:sz w:val="20"/>
                <w:szCs w:val="20"/>
                <w:lang w:val="en-TT" w:eastAsia="en-TT"/>
              </w:rPr>
              <w:t>.</w:t>
            </w:r>
          </w:p>
          <w:p w:rsidR="0064227F" w:rsidRPr="00D83886" w:rsidRDefault="0064227F" w:rsidP="00DE11C9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F80843" w:rsidRPr="00F80843" w:rsidRDefault="00F80843" w:rsidP="00F80843">
            <w:pPr>
              <w:rPr>
                <w:rFonts w:cs="Times New Roman"/>
                <w:sz w:val="20"/>
                <w:szCs w:val="20"/>
              </w:rPr>
            </w:pPr>
            <w:r w:rsidRPr="00F80843">
              <w:rPr>
                <w:rFonts w:cs="Times New Roman"/>
                <w:sz w:val="20"/>
                <w:szCs w:val="20"/>
              </w:rPr>
              <w:t>Cattle: Meat: 21days for slaughter</w:t>
            </w:r>
          </w:p>
          <w:p w:rsidR="00F80843" w:rsidRPr="00F80843" w:rsidRDefault="00F80843" w:rsidP="00F80843">
            <w:pPr>
              <w:rPr>
                <w:rFonts w:cs="Times New Roman"/>
                <w:sz w:val="20"/>
                <w:szCs w:val="20"/>
              </w:rPr>
            </w:pPr>
            <w:r w:rsidRPr="00F80843">
              <w:rPr>
                <w:rFonts w:cs="Times New Roman"/>
                <w:sz w:val="20"/>
                <w:szCs w:val="20"/>
              </w:rPr>
              <w:t>Milk: 72hours cattle</w:t>
            </w:r>
          </w:p>
          <w:p w:rsidR="00F80843" w:rsidRPr="00F80843" w:rsidRDefault="00F80843" w:rsidP="00F80843">
            <w:pPr>
              <w:rPr>
                <w:rFonts w:cs="Times New Roman"/>
                <w:sz w:val="20"/>
                <w:szCs w:val="20"/>
              </w:rPr>
            </w:pPr>
            <w:r w:rsidRPr="00F80843">
              <w:rPr>
                <w:rFonts w:cs="Times New Roman"/>
                <w:sz w:val="20"/>
                <w:szCs w:val="20"/>
              </w:rPr>
              <w:t>48hours (goats)</w:t>
            </w:r>
          </w:p>
          <w:p w:rsidR="0064227F" w:rsidRPr="00D42101" w:rsidRDefault="00F80843" w:rsidP="00F80843">
            <w:pPr>
              <w:rPr>
                <w:sz w:val="20"/>
                <w:szCs w:val="20"/>
              </w:rPr>
            </w:pPr>
            <w:r w:rsidRPr="00F80843">
              <w:rPr>
                <w:rFonts w:cs="Times New Roman"/>
                <w:sz w:val="20"/>
                <w:szCs w:val="20"/>
              </w:rPr>
              <w:t>Swine: 14 days for slaughter</w:t>
            </w:r>
          </w:p>
        </w:tc>
      </w:tr>
      <w:tr w:rsidR="00DE11C9" w:rsidRPr="00D42101" w:rsidTr="006210C4">
        <w:trPr>
          <w:trHeight w:val="3251"/>
        </w:trPr>
        <w:tc>
          <w:tcPr>
            <w:tcW w:w="2122" w:type="dxa"/>
          </w:tcPr>
          <w:p w:rsidR="00DE11C9" w:rsidRDefault="00DE11C9" w:rsidP="00DE11C9"/>
          <w:p w:rsidR="00DE11C9" w:rsidRDefault="00655BEF" w:rsidP="00DE11C9">
            <w:r>
              <w:rPr>
                <w:noProof/>
              </w:rPr>
              <w:drawing>
                <wp:inline distT="0" distB="0" distL="0" distR="0" wp14:anchorId="061AF55E" wp14:editId="3C49DA44">
                  <wp:extent cx="1409700" cy="1409700"/>
                  <wp:effectExtent l="0" t="0" r="0" b="0"/>
                  <wp:docPr id="18" name="Picture 18" descr="Image result for micotil for ca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cotil for ca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DE11C9" w:rsidRDefault="00FD53B2" w:rsidP="00DE11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Micotil</w:t>
            </w:r>
            <w:proofErr w:type="spellEnd"/>
            <w:r>
              <w:rPr>
                <w:sz w:val="20"/>
                <w:szCs w:val="20"/>
              </w:rPr>
              <w:t xml:space="preserve"> 300mg</w:t>
            </w:r>
          </w:p>
          <w:p w:rsidR="00E52CC1" w:rsidRDefault="00E52CC1" w:rsidP="00DE11C9">
            <w:pPr>
              <w:rPr>
                <w:sz w:val="20"/>
                <w:szCs w:val="20"/>
              </w:rPr>
            </w:pPr>
          </w:p>
          <w:p w:rsidR="00E52CC1" w:rsidRDefault="00E52CC1" w:rsidP="00DE11C9">
            <w:pPr>
              <w:rPr>
                <w:sz w:val="20"/>
                <w:szCs w:val="20"/>
              </w:rPr>
            </w:pPr>
          </w:p>
          <w:p w:rsidR="00E52CC1" w:rsidRDefault="00E52CC1" w:rsidP="00DE11C9">
            <w:pPr>
              <w:rPr>
                <w:sz w:val="20"/>
                <w:szCs w:val="20"/>
              </w:rPr>
            </w:pPr>
          </w:p>
          <w:p w:rsidR="00E52CC1" w:rsidRDefault="00E52CC1" w:rsidP="00DE11C9">
            <w:pPr>
              <w:rPr>
                <w:sz w:val="20"/>
                <w:szCs w:val="20"/>
              </w:rPr>
            </w:pPr>
          </w:p>
          <w:p w:rsidR="00E52CC1" w:rsidRDefault="00E52CC1" w:rsidP="00DE11C9">
            <w:pPr>
              <w:rPr>
                <w:sz w:val="20"/>
                <w:szCs w:val="20"/>
              </w:rPr>
            </w:pPr>
          </w:p>
          <w:p w:rsidR="00E52CC1" w:rsidRPr="00D42101" w:rsidRDefault="00E52CC1" w:rsidP="00DE11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11C9" w:rsidRPr="00FD53B2" w:rsidRDefault="00DE11C9" w:rsidP="00DE11C9">
            <w:pPr>
              <w:rPr>
                <w:sz w:val="20"/>
                <w:szCs w:val="20"/>
              </w:rPr>
            </w:pPr>
          </w:p>
          <w:p w:rsidR="00FD53B2" w:rsidRPr="00FD53B2" w:rsidRDefault="00FD53B2" w:rsidP="00DE11C9">
            <w:pPr>
              <w:rPr>
                <w:sz w:val="20"/>
                <w:szCs w:val="20"/>
              </w:rPr>
            </w:pPr>
            <w:proofErr w:type="spellStart"/>
            <w:r w:rsidRPr="00FD53B2">
              <w:rPr>
                <w:rFonts w:cs="Segoe UI"/>
                <w:bCs/>
                <w:color w:val="484848"/>
                <w:sz w:val="20"/>
                <w:szCs w:val="20"/>
                <w:shd w:val="clear" w:color="auto" w:fill="FFFFFF"/>
              </w:rPr>
              <w:t>Tilmicosin</w:t>
            </w:r>
            <w:proofErr w:type="spellEnd"/>
          </w:p>
        </w:tc>
        <w:tc>
          <w:tcPr>
            <w:tcW w:w="2448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FD53B2" w:rsidRPr="00D83886" w:rsidRDefault="00FD53B2" w:rsidP="00DE11C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use in treatment </w:t>
            </w:r>
            <w:r w:rsidR="00655BE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 xml:space="preserve"> bovine and ovine respiratory disease caused by Man</w:t>
            </w:r>
            <w:r w:rsidR="00655BEF">
              <w:rPr>
                <w:rFonts w:ascii="Times New Roman" w:hAnsi="Times New Roman" w:cs="Times New Roman"/>
                <w:sz w:val="20"/>
                <w:szCs w:val="20"/>
              </w:rPr>
              <w:t xml:space="preserve">nheimia </w:t>
            </w:r>
            <w:proofErr w:type="spellStart"/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haemolytica</w:t>
            </w:r>
            <w:proofErr w:type="spellEnd"/>
          </w:p>
        </w:tc>
        <w:tc>
          <w:tcPr>
            <w:tcW w:w="234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655BEF" w:rsidRPr="00D42101" w:rsidRDefault="00655BEF" w:rsidP="00DE11C9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10mg/kg </w:t>
            </w:r>
            <w:r w:rsidRPr="00B91E2C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225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655BEF" w:rsidRPr="00655BEF" w:rsidRDefault="00655BEF" w:rsidP="00DE11C9">
            <w:pPr>
              <w:rPr>
                <w:sz w:val="20"/>
                <w:szCs w:val="20"/>
              </w:rPr>
            </w:pPr>
            <w:r w:rsidRPr="00655BEF">
              <w:rPr>
                <w:rFonts w:cs="Segoe UI"/>
                <w:bCs/>
                <w:color w:val="484848"/>
                <w:sz w:val="20"/>
                <w:szCs w:val="20"/>
                <w:shd w:val="clear" w:color="auto" w:fill="FFFFFF"/>
              </w:rPr>
              <w:t xml:space="preserve">Do not administer intravenously to cattle or sheep. Intravenous injection in cattle or sheep will be fatal. Do not use in lambs less than 15 kg body weight. </w:t>
            </w:r>
            <w:r>
              <w:rPr>
                <w:rFonts w:cs="Segoe UI"/>
                <w:bCs/>
                <w:color w:val="484848"/>
                <w:sz w:val="20"/>
                <w:szCs w:val="20"/>
                <w:shd w:val="clear" w:color="auto" w:fill="FFFFFF"/>
              </w:rPr>
              <w:t>Administer to cattle and sheep only</w:t>
            </w:r>
            <w:r w:rsidRPr="00655BEF">
              <w:rPr>
                <w:rFonts w:cs="Segoe UI"/>
                <w:bCs/>
                <w:color w:val="484848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DE11C9" w:rsidRDefault="00DE11C9" w:rsidP="00DE11C9">
            <w:pPr>
              <w:rPr>
                <w:sz w:val="20"/>
                <w:szCs w:val="20"/>
              </w:rPr>
            </w:pPr>
          </w:p>
          <w:p w:rsidR="00655BEF" w:rsidRPr="00D42101" w:rsidRDefault="00655BEF" w:rsidP="00DE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days for slaughter</w:t>
            </w:r>
          </w:p>
        </w:tc>
      </w:tr>
      <w:tr w:rsidR="00DE11C9" w:rsidRPr="00D42101" w:rsidTr="00E52CC1">
        <w:trPr>
          <w:trHeight w:val="5235"/>
        </w:trPr>
        <w:tc>
          <w:tcPr>
            <w:tcW w:w="2122" w:type="dxa"/>
          </w:tcPr>
          <w:p w:rsidR="00DE11C9" w:rsidRDefault="00DE11C9" w:rsidP="00614026"/>
          <w:p w:rsidR="00E52CC1" w:rsidRDefault="00E52CC1" w:rsidP="00614026"/>
          <w:p w:rsidR="00DE11C9" w:rsidRDefault="007D38DC" w:rsidP="00614026">
            <w:r>
              <w:rPr>
                <w:noProof/>
              </w:rPr>
              <w:drawing>
                <wp:inline distT="0" distB="0" distL="0" distR="0" wp14:anchorId="34F58A7A" wp14:editId="00EF14B6">
                  <wp:extent cx="1257300" cy="1257300"/>
                  <wp:effectExtent l="0" t="0" r="0" b="0"/>
                  <wp:docPr id="19" name="Picture 19" descr="Image result for marcobyl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rcobyl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2A06A3" w:rsidRDefault="002A06A3" w:rsidP="00655BEF">
            <w:pPr>
              <w:rPr>
                <w:sz w:val="20"/>
                <w:szCs w:val="20"/>
              </w:rPr>
            </w:pPr>
          </w:p>
          <w:p w:rsidR="00655BEF" w:rsidRDefault="00655BEF" w:rsidP="00655B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Marcobyl</w:t>
            </w:r>
            <w:proofErr w:type="spellEnd"/>
            <w:r>
              <w:rPr>
                <w:sz w:val="20"/>
                <w:szCs w:val="20"/>
              </w:rPr>
              <w:t xml:space="preserve"> 10%</w:t>
            </w:r>
          </w:p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DE11C9" w:rsidRPr="00D42101" w:rsidRDefault="00DE11C9" w:rsidP="006140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53B2" w:rsidRPr="002A06A3" w:rsidRDefault="00FD53B2" w:rsidP="00614026">
            <w:pPr>
              <w:rPr>
                <w:sz w:val="20"/>
                <w:szCs w:val="20"/>
              </w:rPr>
            </w:pPr>
          </w:p>
          <w:p w:rsidR="002A06A3" w:rsidRPr="002A06A3" w:rsidRDefault="002A06A3" w:rsidP="00614026">
            <w:pPr>
              <w:rPr>
                <w:sz w:val="20"/>
                <w:szCs w:val="20"/>
              </w:rPr>
            </w:pPr>
            <w:r w:rsidRPr="002A06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 Marbofloxacin</w:t>
            </w:r>
          </w:p>
          <w:p w:rsidR="00FD53B2" w:rsidRPr="002A06A3" w:rsidRDefault="00FD53B2" w:rsidP="00FD53B2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:rsidR="00DE11C9" w:rsidRPr="002A06A3" w:rsidRDefault="00DE11C9" w:rsidP="00614026">
            <w:pPr>
              <w:rPr>
                <w:sz w:val="20"/>
                <w:szCs w:val="20"/>
              </w:rPr>
            </w:pPr>
          </w:p>
          <w:p w:rsidR="002A06A3" w:rsidRPr="002A06A3" w:rsidRDefault="002A06A3" w:rsidP="002A06A3">
            <w:pPr>
              <w:shd w:val="clear" w:color="auto" w:fill="FFFFFF"/>
              <w:spacing w:after="225" w:line="384" w:lineRule="atLeast"/>
              <w:rPr>
                <w:rFonts w:eastAsia="Times New Roman" w:cs="Arial"/>
                <w:sz w:val="20"/>
                <w:szCs w:val="20"/>
                <w:lang w:val="en-TT" w:eastAsia="en-TT"/>
              </w:rPr>
            </w:pPr>
            <w:r w:rsidRPr="002A06A3">
              <w:rPr>
                <w:rFonts w:eastAsia="Times New Roman" w:cs="Arial"/>
                <w:sz w:val="20"/>
                <w:szCs w:val="20"/>
                <w:lang w:val="en-TT" w:eastAsia="en-TT"/>
              </w:rPr>
              <w:t xml:space="preserve">In cattle: Indicated in the treatment of respiratory infections and the treatment of acute </w:t>
            </w:r>
            <w:proofErr w:type="gramStart"/>
            <w:r w:rsidRPr="002A06A3">
              <w:rPr>
                <w:rFonts w:eastAsia="Times New Roman" w:cs="Arial"/>
                <w:sz w:val="20"/>
                <w:szCs w:val="20"/>
                <w:lang w:val="en-TT" w:eastAsia="en-TT"/>
              </w:rPr>
              <w:t>E.coli</w:t>
            </w:r>
            <w:proofErr w:type="gramEnd"/>
            <w:r w:rsidRPr="002A06A3">
              <w:rPr>
                <w:rFonts w:eastAsia="Times New Roman" w:cs="Arial"/>
                <w:sz w:val="20"/>
                <w:szCs w:val="20"/>
                <w:lang w:val="en-TT" w:eastAsia="en-TT"/>
              </w:rPr>
              <w:t xml:space="preserve"> mastitis.</w:t>
            </w:r>
          </w:p>
          <w:p w:rsidR="002A06A3" w:rsidRPr="002A06A3" w:rsidRDefault="002A06A3" w:rsidP="002A06A3">
            <w:pPr>
              <w:shd w:val="clear" w:color="auto" w:fill="FFFFFF"/>
              <w:spacing w:after="225" w:line="384" w:lineRule="atLeast"/>
              <w:rPr>
                <w:rFonts w:eastAsia="Times New Roman" w:cs="Arial"/>
                <w:sz w:val="20"/>
                <w:szCs w:val="20"/>
                <w:lang w:val="en-TT" w:eastAsia="en-TT"/>
              </w:rPr>
            </w:pPr>
            <w:r w:rsidRPr="002A06A3">
              <w:rPr>
                <w:rFonts w:eastAsia="Times New Roman" w:cs="Arial"/>
                <w:sz w:val="20"/>
                <w:szCs w:val="20"/>
                <w:lang w:val="en-TT" w:eastAsia="en-TT"/>
              </w:rPr>
              <w:t>In pigs: Indicated in the treatment of Metritis Mastitis Agalactia syndrome caused by susceptible strains of organisms.</w:t>
            </w:r>
          </w:p>
          <w:p w:rsidR="002A06A3" w:rsidRPr="002A06A3" w:rsidRDefault="002A06A3" w:rsidP="0061402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A06A3" w:rsidRDefault="002A06A3" w:rsidP="00614026">
            <w:pP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Cattle:</w:t>
            </w:r>
            <w:r w:rsidRPr="002A06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2mg/kg/day (1ml/50kg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) in a single daily injection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IM</w:t>
            </w:r>
            <w:r w:rsidRPr="002A06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SC</w:t>
            </w:r>
            <w:proofErr w:type="gramEnd"/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,IV</w:t>
            </w:r>
          </w:p>
          <w:p w:rsidR="002A06A3" w:rsidRPr="002A06A3" w:rsidRDefault="002A06A3" w:rsidP="00614026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Pigs:</w:t>
            </w:r>
            <w:r w:rsidR="00BB297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IM</w:t>
            </w:r>
          </w:p>
        </w:tc>
        <w:tc>
          <w:tcPr>
            <w:tcW w:w="225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7D38DC" w:rsidRPr="00D42101" w:rsidRDefault="007D38DC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Avoid using in young animals.</w:t>
            </w:r>
          </w:p>
        </w:tc>
        <w:tc>
          <w:tcPr>
            <w:tcW w:w="207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7D38DC" w:rsidRDefault="007D38DC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Milk: 36hrs</w:t>
            </w:r>
          </w:p>
          <w:p w:rsidR="007D38DC" w:rsidRDefault="007D38DC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Meat: Cattle 6 days   </w:t>
            </w:r>
          </w:p>
          <w:p w:rsidR="007D38DC" w:rsidRPr="00D42101" w:rsidRDefault="007D38DC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>Pigs  4</w:t>
            </w:r>
            <w:proofErr w:type="gramEnd"/>
            <w:r>
              <w:rPr>
                <w:sz w:val="20"/>
                <w:szCs w:val="20"/>
              </w:rPr>
              <w:t xml:space="preserve">days      </w:t>
            </w:r>
          </w:p>
        </w:tc>
      </w:tr>
      <w:tr w:rsidR="00DE11C9" w:rsidRPr="00D42101" w:rsidTr="006210C4">
        <w:trPr>
          <w:trHeight w:val="2684"/>
        </w:trPr>
        <w:tc>
          <w:tcPr>
            <w:tcW w:w="2122" w:type="dxa"/>
          </w:tcPr>
          <w:p w:rsidR="00DE11C9" w:rsidRDefault="00DE11C9" w:rsidP="00614026"/>
          <w:p w:rsidR="00DE11C9" w:rsidRDefault="00292922" w:rsidP="00614026">
            <w:r>
              <w:rPr>
                <w:noProof/>
              </w:rPr>
              <w:drawing>
                <wp:inline distT="0" distB="0" distL="0" distR="0" wp14:anchorId="47C89113" wp14:editId="1FE4F7ED">
                  <wp:extent cx="1117600" cy="838200"/>
                  <wp:effectExtent l="0" t="0" r="6350" b="0"/>
                  <wp:docPr id="20" name="Picture 20" descr="Image result for silver sulfadiazine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ilver sulfadiazine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7D38DC" w:rsidRDefault="00292922" w:rsidP="007D38D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Thermazene</w:t>
            </w:r>
            <w:proofErr w:type="spellEnd"/>
          </w:p>
          <w:p w:rsidR="00292922" w:rsidRDefault="00292922" w:rsidP="00655BEF">
            <w:pPr>
              <w:rPr>
                <w:sz w:val="20"/>
                <w:szCs w:val="20"/>
              </w:rPr>
            </w:pPr>
          </w:p>
          <w:p w:rsidR="00DE11C9" w:rsidRPr="00292922" w:rsidRDefault="00DE11C9" w:rsidP="0029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92922" w:rsidRPr="00D42101" w:rsidRDefault="00292922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Silver Sulfadiazine </w:t>
            </w:r>
          </w:p>
        </w:tc>
        <w:tc>
          <w:tcPr>
            <w:tcW w:w="2448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5E43A6" w:rsidRPr="005E43A6" w:rsidRDefault="005E43A6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5E43A6">
              <w:rPr>
                <w:sz w:val="20"/>
                <w:szCs w:val="20"/>
              </w:rPr>
              <w:t xml:space="preserve"> thick topical antibacterial cream most commonly used for treatment of burn wounds</w:t>
            </w:r>
          </w:p>
        </w:tc>
        <w:tc>
          <w:tcPr>
            <w:tcW w:w="234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92922" w:rsidRPr="00D42101" w:rsidRDefault="00292922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cream over a sterile wound.</w:t>
            </w:r>
          </w:p>
        </w:tc>
        <w:tc>
          <w:tcPr>
            <w:tcW w:w="225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92922" w:rsidRPr="00D42101" w:rsidRDefault="00292922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_____</w:t>
            </w:r>
          </w:p>
        </w:tc>
        <w:tc>
          <w:tcPr>
            <w:tcW w:w="207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92922" w:rsidRPr="00D42101" w:rsidRDefault="00292922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</w:t>
            </w:r>
          </w:p>
        </w:tc>
      </w:tr>
      <w:tr w:rsidR="00DE11C9" w:rsidRPr="00D42101" w:rsidTr="006210C4">
        <w:trPr>
          <w:trHeight w:val="2826"/>
        </w:trPr>
        <w:tc>
          <w:tcPr>
            <w:tcW w:w="2122" w:type="dxa"/>
          </w:tcPr>
          <w:p w:rsidR="00DE11C9" w:rsidRDefault="00B00A6E" w:rsidP="00614026"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7EC87BC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171450</wp:posOffset>
                  </wp:positionV>
                  <wp:extent cx="951865" cy="1276350"/>
                  <wp:effectExtent l="0" t="0" r="0" b="0"/>
                  <wp:wrapNone/>
                  <wp:docPr id="21" name="Picture 21" descr="Image result for dupham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upham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E11C9" w:rsidRDefault="00DE11C9" w:rsidP="00614026"/>
        </w:tc>
        <w:tc>
          <w:tcPr>
            <w:tcW w:w="1559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DE11C9" w:rsidRPr="00D42101" w:rsidRDefault="006E59E4" w:rsidP="006E59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Duphamox</w:t>
            </w:r>
            <w:proofErr w:type="spellEnd"/>
          </w:p>
        </w:tc>
        <w:tc>
          <w:tcPr>
            <w:tcW w:w="1701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6E59E4" w:rsidRPr="006E59E4" w:rsidRDefault="006E59E4" w:rsidP="00614026">
            <w:pPr>
              <w:rPr>
                <w:sz w:val="20"/>
                <w:szCs w:val="20"/>
              </w:rPr>
            </w:pPr>
            <w:r w:rsidRPr="006E59E4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Amoxicillin Trihydrate</w:t>
            </w:r>
          </w:p>
        </w:tc>
        <w:tc>
          <w:tcPr>
            <w:tcW w:w="2448" w:type="dxa"/>
          </w:tcPr>
          <w:p w:rsidR="00DE11C9" w:rsidRDefault="00DE11C9" w:rsidP="004E4F95">
            <w:pPr>
              <w:spacing w:line="240" w:lineRule="auto"/>
              <w:rPr>
                <w:sz w:val="20"/>
                <w:szCs w:val="20"/>
              </w:rPr>
            </w:pPr>
          </w:p>
          <w:p w:rsidR="006E59E4" w:rsidRPr="006E59E4" w:rsidRDefault="004E4F95" w:rsidP="004E4F95">
            <w:pPr>
              <w:shd w:val="clear" w:color="auto" w:fill="FFFFFF"/>
              <w:spacing w:after="225" w:line="240" w:lineRule="auto"/>
              <w:rPr>
                <w:rFonts w:eastAsia="Times New Roman" w:cs="Arial"/>
                <w:color w:val="000000"/>
                <w:sz w:val="20"/>
                <w:szCs w:val="20"/>
                <w:lang w:val="en-TT" w:eastAsia="en-T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TT" w:eastAsia="en-TT"/>
              </w:rPr>
              <w:t>A</w:t>
            </w:r>
            <w:r w:rsidR="006E59E4" w:rsidRPr="006E59E4">
              <w:rPr>
                <w:rFonts w:eastAsia="Times New Roman" w:cs="Arial"/>
                <w:color w:val="000000"/>
                <w:sz w:val="20"/>
                <w:szCs w:val="20"/>
                <w:lang w:val="en-TT" w:eastAsia="en-TT"/>
              </w:rPr>
              <w:t xml:space="preserve"> broad-spectrum semi-synthetic penicillin bactericidal in action. In vitro it is effective against a wide range of Gram-positive and Gram-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TT" w:eastAsia="en-TT"/>
              </w:rPr>
              <w:t>negative bacteria which include i</w:t>
            </w:r>
            <w:r w:rsidR="005E4273">
              <w:rPr>
                <w:rFonts w:eastAsia="Times New Roman" w:cs="Arial"/>
                <w:color w:val="000000"/>
                <w:sz w:val="20"/>
                <w:szCs w:val="20"/>
                <w:lang w:val="en-TT" w:eastAsia="en-TT"/>
              </w:rPr>
              <w:t>n cattle, sheep, pigs.</w:t>
            </w:r>
          </w:p>
          <w:p w:rsidR="006E59E4" w:rsidRPr="00D83886" w:rsidRDefault="006E59E4" w:rsidP="004E4F9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4E4F95" w:rsidRPr="00D42101" w:rsidRDefault="004E4F95" w:rsidP="00614026">
            <w:pPr>
              <w:rPr>
                <w:sz w:val="20"/>
                <w:szCs w:val="20"/>
              </w:rPr>
            </w:pPr>
            <w:r w:rsidRPr="004E4F95">
              <w:rPr>
                <w:rFonts w:ascii="Times New Roman" w:hAnsi="Times New Roman" w:cs="Times New Roman"/>
                <w:sz w:val="20"/>
                <w:szCs w:val="20"/>
              </w:rPr>
              <w:t>Cattle and Pigs:</w:t>
            </w:r>
            <w:r w:rsidR="005E42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1ml/10kg IM</w:t>
            </w:r>
          </w:p>
        </w:tc>
        <w:tc>
          <w:tcPr>
            <w:tcW w:w="225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4E4F95" w:rsidRPr="00800671" w:rsidRDefault="004E4F95" w:rsidP="004E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671">
              <w:rPr>
                <w:rFonts w:ascii="Times New Roman" w:hAnsi="Times New Roman" w:cs="Times New Roman"/>
                <w:sz w:val="20"/>
                <w:szCs w:val="20"/>
              </w:rPr>
              <w:t>Not for use in known cases of hypersensitivity to penicillin or cephalosporins.</w:t>
            </w:r>
          </w:p>
          <w:p w:rsidR="004E4F95" w:rsidRPr="00800671" w:rsidRDefault="004E4F95" w:rsidP="004E4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F95" w:rsidRPr="00D42101" w:rsidRDefault="004E4F95" w:rsidP="00614026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4E4F95" w:rsidRPr="004E4F95" w:rsidRDefault="004E4F95" w:rsidP="004E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95">
              <w:rPr>
                <w:rFonts w:ascii="Times New Roman" w:hAnsi="Times New Roman" w:cs="Times New Roman"/>
                <w:sz w:val="20"/>
                <w:szCs w:val="20"/>
              </w:rPr>
              <w:t>Cattle: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4E4F95">
              <w:rPr>
                <w:rFonts w:ascii="Times New Roman" w:hAnsi="Times New Roman" w:cs="Times New Roman"/>
                <w:sz w:val="20"/>
                <w:szCs w:val="20"/>
              </w:rPr>
              <w:t xml:space="preserve"> 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– 23 days, M</w:t>
            </w:r>
            <w:r w:rsidRPr="004E4F95">
              <w:rPr>
                <w:rFonts w:ascii="Times New Roman" w:hAnsi="Times New Roman" w:cs="Times New Roman"/>
                <w:sz w:val="20"/>
                <w:szCs w:val="20"/>
              </w:rPr>
              <w:t>ilking – 84 hours</w:t>
            </w:r>
          </w:p>
          <w:p w:rsidR="004E4F95" w:rsidRPr="004E4F95" w:rsidRDefault="004E4F95" w:rsidP="004E4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F95">
              <w:rPr>
                <w:rFonts w:ascii="Times New Roman" w:hAnsi="Times New Roman" w:cs="Times New Roman"/>
                <w:sz w:val="20"/>
                <w:szCs w:val="20"/>
              </w:rPr>
              <w:t>Pigs: 16 days for slaughter</w:t>
            </w:r>
          </w:p>
          <w:p w:rsidR="004E4F95" w:rsidRPr="00D42101" w:rsidRDefault="004E4F95" w:rsidP="00614026">
            <w:pPr>
              <w:rPr>
                <w:sz w:val="20"/>
                <w:szCs w:val="20"/>
              </w:rPr>
            </w:pPr>
          </w:p>
        </w:tc>
      </w:tr>
      <w:tr w:rsidR="00DE11C9" w:rsidRPr="00D42101" w:rsidTr="006210C4">
        <w:trPr>
          <w:trHeight w:val="1214"/>
        </w:trPr>
        <w:tc>
          <w:tcPr>
            <w:tcW w:w="2122" w:type="dxa"/>
          </w:tcPr>
          <w:p w:rsidR="00DE11C9" w:rsidRDefault="00DE11C9" w:rsidP="00614026"/>
          <w:p w:rsidR="00DE11C9" w:rsidRDefault="006210C4" w:rsidP="00614026">
            <w:r>
              <w:rPr>
                <w:noProof/>
              </w:rPr>
              <w:drawing>
                <wp:inline distT="0" distB="0" distL="0" distR="0" wp14:anchorId="0EFD86EF" wp14:editId="3444D532">
                  <wp:extent cx="1162050" cy="1162050"/>
                  <wp:effectExtent l="0" t="0" r="0" b="0"/>
                  <wp:docPr id="22" name="Picture 22" descr="Image result for ciprofloxacin injectable 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iprofloxacin injectable 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2E2B2C" w:rsidRDefault="00B00A6E" w:rsidP="006140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Cifran</w:t>
            </w:r>
            <w:proofErr w:type="spellEnd"/>
          </w:p>
          <w:p w:rsidR="00DE11C9" w:rsidRPr="00D42101" w:rsidRDefault="00DE11C9" w:rsidP="0061402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B00A6E" w:rsidRPr="00D42101" w:rsidRDefault="00B00A6E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Ciprofloxacin</w:t>
            </w:r>
          </w:p>
        </w:tc>
        <w:tc>
          <w:tcPr>
            <w:tcW w:w="2448" w:type="dxa"/>
          </w:tcPr>
          <w:p w:rsidR="00DE11C9" w:rsidRDefault="00DE11C9" w:rsidP="004E4F95">
            <w:pPr>
              <w:spacing w:line="240" w:lineRule="auto"/>
              <w:rPr>
                <w:sz w:val="20"/>
                <w:szCs w:val="20"/>
              </w:rPr>
            </w:pPr>
          </w:p>
          <w:p w:rsidR="00B00A6E" w:rsidRPr="00B00A6E" w:rsidRDefault="00B00A6E" w:rsidP="004E4F95">
            <w:pPr>
              <w:spacing w:line="240" w:lineRule="auto"/>
              <w:rPr>
                <w:sz w:val="20"/>
                <w:szCs w:val="20"/>
              </w:rPr>
            </w:pPr>
            <w:r w:rsidRPr="00B00A6E">
              <w:rPr>
                <w:rFonts w:cs="Times New Roman"/>
                <w:sz w:val="20"/>
                <w:szCs w:val="20"/>
              </w:rPr>
              <w:t>An alternative to Enrofloxacin as a post antibiotic resort against both Gram-positive and Gram- negative cocci and bacilli, in small animals.</w:t>
            </w:r>
          </w:p>
        </w:tc>
        <w:tc>
          <w:tcPr>
            <w:tcW w:w="2340" w:type="dxa"/>
          </w:tcPr>
          <w:p w:rsidR="00DE11C9" w:rsidRPr="00B00A6E" w:rsidRDefault="00DE11C9" w:rsidP="00614026">
            <w:pPr>
              <w:rPr>
                <w:sz w:val="20"/>
                <w:szCs w:val="20"/>
              </w:rPr>
            </w:pPr>
          </w:p>
          <w:p w:rsidR="00B00A6E" w:rsidRPr="00B00A6E" w:rsidRDefault="00B00A6E" w:rsidP="00614026">
            <w:pPr>
              <w:rPr>
                <w:sz w:val="20"/>
                <w:szCs w:val="20"/>
              </w:rPr>
            </w:pPr>
            <w:r w:rsidRPr="00B00A6E">
              <w:rPr>
                <w:sz w:val="20"/>
                <w:szCs w:val="20"/>
              </w:rPr>
              <w:t>Cattle:7.5- 12.5mg/kg single dose or 2.5- 5mg/kg</w:t>
            </w:r>
          </w:p>
        </w:tc>
        <w:tc>
          <w:tcPr>
            <w:tcW w:w="225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B00A6E" w:rsidRPr="00D42101" w:rsidRDefault="00B00A6E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indicated for food animals or horses</w:t>
            </w:r>
          </w:p>
        </w:tc>
        <w:tc>
          <w:tcPr>
            <w:tcW w:w="2070" w:type="dxa"/>
          </w:tcPr>
          <w:p w:rsidR="00DE11C9" w:rsidRDefault="00DE11C9" w:rsidP="00614026">
            <w:pPr>
              <w:rPr>
                <w:sz w:val="20"/>
                <w:szCs w:val="20"/>
              </w:rPr>
            </w:pPr>
          </w:p>
          <w:p w:rsidR="00B00A6E" w:rsidRPr="00D42101" w:rsidRDefault="00B00A6E" w:rsidP="00614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</w:t>
            </w:r>
          </w:p>
        </w:tc>
      </w:tr>
    </w:tbl>
    <w:p w:rsidR="00DE11C9" w:rsidRDefault="00DE11C9" w:rsidP="005E4273">
      <w:bookmarkStart w:id="0" w:name="_GoBack"/>
      <w:bookmarkEnd w:id="0"/>
    </w:p>
    <w:sectPr w:rsidR="00DE11C9" w:rsidSect="00DE11C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A4420"/>
    <w:multiLevelType w:val="multilevel"/>
    <w:tmpl w:val="604A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63D33"/>
    <w:multiLevelType w:val="hybridMultilevel"/>
    <w:tmpl w:val="F840322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42869"/>
    <w:multiLevelType w:val="multilevel"/>
    <w:tmpl w:val="16F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C9"/>
    <w:rsid w:val="000D0014"/>
    <w:rsid w:val="00135364"/>
    <w:rsid w:val="00204A8B"/>
    <w:rsid w:val="00292922"/>
    <w:rsid w:val="002A06A3"/>
    <w:rsid w:val="002E2B2C"/>
    <w:rsid w:val="00325650"/>
    <w:rsid w:val="003E63AB"/>
    <w:rsid w:val="004C6931"/>
    <w:rsid w:val="004E4F95"/>
    <w:rsid w:val="005E4273"/>
    <w:rsid w:val="005E43A6"/>
    <w:rsid w:val="00614026"/>
    <w:rsid w:val="006210C4"/>
    <w:rsid w:val="00633FAF"/>
    <w:rsid w:val="0064227F"/>
    <w:rsid w:val="00655BEF"/>
    <w:rsid w:val="006E59E4"/>
    <w:rsid w:val="00710A80"/>
    <w:rsid w:val="007C2C49"/>
    <w:rsid w:val="007D38DC"/>
    <w:rsid w:val="008D0CD8"/>
    <w:rsid w:val="009D72C1"/>
    <w:rsid w:val="00A22266"/>
    <w:rsid w:val="00A30979"/>
    <w:rsid w:val="00A61FA0"/>
    <w:rsid w:val="00AA1A61"/>
    <w:rsid w:val="00B00A6E"/>
    <w:rsid w:val="00B45732"/>
    <w:rsid w:val="00B56C93"/>
    <w:rsid w:val="00BA5F99"/>
    <w:rsid w:val="00BB2979"/>
    <w:rsid w:val="00BF07D2"/>
    <w:rsid w:val="00C61AA4"/>
    <w:rsid w:val="00C82D40"/>
    <w:rsid w:val="00CF70A4"/>
    <w:rsid w:val="00D46785"/>
    <w:rsid w:val="00DE11C9"/>
    <w:rsid w:val="00E52CC1"/>
    <w:rsid w:val="00E96967"/>
    <w:rsid w:val="00F80843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E2B71"/>
  <w15:chartTrackingRefBased/>
  <w15:docId w15:val="{FB2E1C1A-8640-4CA4-B85B-2CBD95EB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1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1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11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T" w:eastAsia="en-TT"/>
    </w:rPr>
  </w:style>
  <w:style w:type="paragraph" w:styleId="ListParagraph">
    <w:name w:val="List Paragraph"/>
    <w:basedOn w:val="Normal"/>
    <w:uiPriority w:val="34"/>
    <w:qFormat/>
    <w:rsid w:val="00E5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2</cp:revision>
  <dcterms:created xsi:type="dcterms:W3CDTF">2017-09-10T23:08:00Z</dcterms:created>
  <dcterms:modified xsi:type="dcterms:W3CDTF">2017-09-10T23:08:00Z</dcterms:modified>
</cp:coreProperties>
</file>