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815"/>
        <w:gridCol w:w="1339"/>
        <w:gridCol w:w="2255"/>
        <w:gridCol w:w="1780"/>
        <w:gridCol w:w="3103"/>
        <w:gridCol w:w="2157"/>
        <w:gridCol w:w="1519"/>
      </w:tblGrid>
      <w:tr w:rsidR="00EA29DA" w:rsidRPr="00CA3BDF" w:rsidTr="00D86F97">
        <w:tc>
          <w:tcPr>
            <w:tcW w:w="1737" w:type="dxa"/>
          </w:tcPr>
          <w:p w:rsidR="009C1B98" w:rsidRPr="00CA3BDF" w:rsidRDefault="009C1B98" w:rsidP="00AF3AE5">
            <w:pPr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  <w:t>DRUG</w:t>
            </w:r>
          </w:p>
        </w:tc>
        <w:tc>
          <w:tcPr>
            <w:tcW w:w="1346" w:type="dxa"/>
          </w:tcPr>
          <w:p w:rsidR="009C1B98" w:rsidRPr="00CA3BDF" w:rsidRDefault="009C1B98" w:rsidP="00AF3AE5">
            <w:pPr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  <w:t>TRADE NAME</w:t>
            </w:r>
          </w:p>
        </w:tc>
        <w:tc>
          <w:tcPr>
            <w:tcW w:w="2277" w:type="dxa"/>
          </w:tcPr>
          <w:p w:rsidR="009C1B98" w:rsidRPr="00CA3BDF" w:rsidRDefault="009C1B98" w:rsidP="00AF3AE5">
            <w:pPr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  <w:t>ACTIVE INGREDIENT</w:t>
            </w:r>
          </w:p>
        </w:tc>
        <w:tc>
          <w:tcPr>
            <w:tcW w:w="1801" w:type="dxa"/>
          </w:tcPr>
          <w:p w:rsidR="009C1B98" w:rsidRPr="00CA3BDF" w:rsidRDefault="009C1B98" w:rsidP="00AF3AE5">
            <w:pPr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  <w:t>INDICATIONS</w:t>
            </w:r>
          </w:p>
        </w:tc>
        <w:tc>
          <w:tcPr>
            <w:tcW w:w="3128" w:type="dxa"/>
          </w:tcPr>
          <w:p w:rsidR="009C1B98" w:rsidRPr="00CA3BDF" w:rsidRDefault="009C1B98" w:rsidP="00AF3AE5">
            <w:pPr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  <w:t>DOSAGE</w:t>
            </w:r>
          </w:p>
        </w:tc>
        <w:tc>
          <w:tcPr>
            <w:tcW w:w="2160" w:type="dxa"/>
          </w:tcPr>
          <w:p w:rsidR="009C1B98" w:rsidRPr="00CA3BDF" w:rsidRDefault="009C1B98" w:rsidP="00AF3AE5">
            <w:pPr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  <w:t>CONTRAINDICATIONS</w:t>
            </w:r>
          </w:p>
        </w:tc>
        <w:tc>
          <w:tcPr>
            <w:tcW w:w="1519" w:type="dxa"/>
          </w:tcPr>
          <w:p w:rsidR="009C1B98" w:rsidRPr="00CA3BDF" w:rsidRDefault="009C1B98" w:rsidP="00AF3AE5">
            <w:pPr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color w:val="B2A1C7" w:themeColor="accent4" w:themeTint="99"/>
                <w:sz w:val="20"/>
                <w:szCs w:val="20"/>
              </w:rPr>
              <w:t>WITHDRAWAL TIME</w:t>
            </w:r>
          </w:p>
        </w:tc>
      </w:tr>
      <w:tr w:rsidR="00EA29DA" w:rsidRPr="00CA3BDF" w:rsidTr="00D86F97">
        <w:tc>
          <w:tcPr>
            <w:tcW w:w="1737" w:type="dxa"/>
            <w:vMerge w:val="restart"/>
          </w:tcPr>
          <w:p w:rsidR="00D86F97" w:rsidRPr="00EA29DA" w:rsidRDefault="00D86F97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29DA">
              <w:rPr>
                <w:rFonts w:asciiTheme="majorHAnsi" w:hAnsiTheme="majorHAnsi"/>
                <w:b/>
                <w:sz w:val="20"/>
                <w:szCs w:val="20"/>
              </w:rPr>
              <w:t>Fluid therapy</w:t>
            </w:r>
          </w:p>
        </w:tc>
        <w:tc>
          <w:tcPr>
            <w:tcW w:w="1346" w:type="dxa"/>
          </w:tcPr>
          <w:p w:rsidR="00D86F97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8% Dextrose and 0.9% Sodium Chloride Injection USP [1000ml]</w:t>
            </w:r>
          </w:p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7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Dextrose and Sodium Chloride </w:t>
            </w:r>
          </w:p>
        </w:tc>
        <w:tc>
          <w:tcPr>
            <w:tcW w:w="1801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Dehydration, supportive therapy</w:t>
            </w:r>
          </w:p>
        </w:tc>
        <w:tc>
          <w:tcPr>
            <w:tcW w:w="3128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Depends of level of dehydration</w:t>
            </w:r>
          </w:p>
        </w:tc>
        <w:tc>
          <w:tcPr>
            <w:tcW w:w="2160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Fluid overload can occur exacerbating Renal failure and Heart failure</w:t>
            </w:r>
          </w:p>
        </w:tc>
        <w:tc>
          <w:tcPr>
            <w:tcW w:w="1519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  <w:vMerge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6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Dextrose 50%</w:t>
            </w:r>
          </w:p>
        </w:tc>
        <w:tc>
          <w:tcPr>
            <w:tcW w:w="2277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Dextrose </w:t>
            </w:r>
          </w:p>
        </w:tc>
        <w:tc>
          <w:tcPr>
            <w:tcW w:w="1801" w:type="dxa"/>
          </w:tcPr>
          <w:p w:rsidR="00D86F97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Hypoglycaemia or supportive therapy </w:t>
            </w:r>
          </w:p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28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Cows 0.1-0.2 gm/kg/hr IV       </w:t>
            </w:r>
          </w:p>
        </w:tc>
        <w:tc>
          <w:tcPr>
            <w:tcW w:w="2160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Animals with low electrolyte concentrations</w:t>
            </w:r>
          </w:p>
        </w:tc>
        <w:tc>
          <w:tcPr>
            <w:tcW w:w="1519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  <w:vMerge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6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Sterile water for injection </w:t>
            </w:r>
          </w:p>
        </w:tc>
        <w:tc>
          <w:tcPr>
            <w:tcW w:w="2277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D86F97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for drug diluent use</w:t>
            </w:r>
          </w:p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28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D86F97" w:rsidRPr="00CA3BDF" w:rsidRDefault="00D86F97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</w:tcPr>
          <w:p w:rsidR="009C1B98" w:rsidRPr="00EA29DA" w:rsidRDefault="00C63939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29DA">
              <w:rPr>
                <w:rFonts w:asciiTheme="majorHAnsi" w:hAnsiTheme="majorHAnsi"/>
                <w:b/>
                <w:sz w:val="20"/>
                <w:szCs w:val="20"/>
              </w:rPr>
              <w:t>NSAID</w:t>
            </w:r>
          </w:p>
        </w:tc>
        <w:tc>
          <w:tcPr>
            <w:tcW w:w="1346" w:type="dxa"/>
          </w:tcPr>
          <w:p w:rsidR="009C1B98" w:rsidRPr="00CA3BDF" w:rsidRDefault="007153CF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Banamine</w:t>
            </w:r>
          </w:p>
        </w:tc>
        <w:tc>
          <w:tcPr>
            <w:tcW w:w="2277" w:type="dxa"/>
          </w:tcPr>
          <w:p w:rsidR="009C1B98" w:rsidRPr="00CA3BDF" w:rsidRDefault="007153CF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Flunixin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Meglumine</w:t>
            </w:r>
            <w:proofErr w:type="spellEnd"/>
          </w:p>
        </w:tc>
        <w:tc>
          <w:tcPr>
            <w:tcW w:w="1801" w:type="dxa"/>
          </w:tcPr>
          <w:p w:rsidR="009C1B98" w:rsidRPr="00CA3BDF" w:rsidRDefault="007153CF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non-narcotic, nonsteroidal, analgesic agent with anti-inflammatory and antipyretic activity</w:t>
            </w:r>
          </w:p>
          <w:p w:rsidR="00C63939" w:rsidRPr="00CA3BDF" w:rsidRDefault="00C63939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Muscle pain, </w:t>
            </w:r>
          </w:p>
        </w:tc>
        <w:tc>
          <w:tcPr>
            <w:tcW w:w="3128" w:type="dxa"/>
          </w:tcPr>
          <w:p w:rsidR="009C1B98" w:rsidRPr="00CA3BDF" w:rsidRDefault="007153CF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Horse: 1.1mg/kg</w:t>
            </w:r>
          </w:p>
          <w:p w:rsidR="007153CF" w:rsidRPr="00CA3BDF" w:rsidRDefault="007153CF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153CF" w:rsidRPr="00CA3BDF" w:rsidRDefault="007153CF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Cattle: 1.1 to 2.2 mg/kg</w:t>
            </w:r>
          </w:p>
        </w:tc>
        <w:tc>
          <w:tcPr>
            <w:tcW w:w="2160" w:type="dxa"/>
          </w:tcPr>
          <w:p w:rsidR="009C1B98" w:rsidRDefault="007153CF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Cattle: NSAIDs inhibit production of prostaglandins which are important in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signaling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the initiation of parturition. The use of flunixin can delay parturition and prolong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labor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which may increase the risk of stillbirth.</w:t>
            </w:r>
          </w:p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9C1B98" w:rsidRPr="00CA3BDF" w:rsidRDefault="007153CF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4 days- meat</w:t>
            </w:r>
          </w:p>
          <w:p w:rsidR="007153CF" w:rsidRPr="00CA3BDF" w:rsidRDefault="007153CF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3 days- milk</w:t>
            </w:r>
          </w:p>
        </w:tc>
      </w:tr>
      <w:tr w:rsidR="00EA29DA" w:rsidRPr="00CA3BDF" w:rsidTr="00D86F97">
        <w:tc>
          <w:tcPr>
            <w:tcW w:w="1737" w:type="dxa"/>
          </w:tcPr>
          <w:p w:rsidR="009C1B98" w:rsidRPr="00EA29DA" w:rsidRDefault="00820EF3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29DA">
              <w:rPr>
                <w:rFonts w:asciiTheme="majorHAnsi" w:hAnsiTheme="majorHAnsi"/>
                <w:b/>
                <w:sz w:val="20"/>
                <w:szCs w:val="20"/>
              </w:rPr>
              <w:t>beta-2-adrenergic agonist</w:t>
            </w:r>
          </w:p>
        </w:tc>
        <w:tc>
          <w:tcPr>
            <w:tcW w:w="1346" w:type="dxa"/>
          </w:tcPr>
          <w:p w:rsidR="009C1B98" w:rsidRPr="00CA3BDF" w:rsidRDefault="00820EF3" w:rsidP="009C1B9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Ventipulmin</w:t>
            </w:r>
            <w:proofErr w:type="spellEnd"/>
          </w:p>
        </w:tc>
        <w:tc>
          <w:tcPr>
            <w:tcW w:w="2277" w:type="dxa"/>
          </w:tcPr>
          <w:p w:rsidR="009C1B98" w:rsidRPr="00CA3BDF" w:rsidRDefault="00820EF3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Clenbuterol</w:t>
            </w:r>
          </w:p>
        </w:tc>
        <w:tc>
          <w:tcPr>
            <w:tcW w:w="1801" w:type="dxa"/>
          </w:tcPr>
          <w:p w:rsidR="009C1B98" w:rsidRDefault="00820EF3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horses affected with airway obstruction, such as chronic obstructive pulmonary disease (COPD)</w:t>
            </w:r>
          </w:p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28" w:type="dxa"/>
          </w:tcPr>
          <w:p w:rsidR="009C1B98" w:rsidRPr="00CA3BDF" w:rsidRDefault="00820EF3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0.5 mL/100 lbs of body weight</w:t>
            </w:r>
          </w:p>
        </w:tc>
        <w:tc>
          <w:tcPr>
            <w:tcW w:w="2160" w:type="dxa"/>
          </w:tcPr>
          <w:p w:rsidR="009C1B98" w:rsidRPr="00CA3BDF" w:rsidRDefault="00820EF3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Should not be used in pregnant mares near term.</w:t>
            </w:r>
          </w:p>
        </w:tc>
        <w:tc>
          <w:tcPr>
            <w:tcW w:w="1519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</w:tcPr>
          <w:p w:rsidR="009C1B98" w:rsidRPr="00EA29DA" w:rsidRDefault="00C63939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29DA">
              <w:rPr>
                <w:rFonts w:asciiTheme="majorHAnsi" w:hAnsiTheme="majorHAnsi"/>
                <w:b/>
                <w:sz w:val="20"/>
                <w:szCs w:val="20"/>
              </w:rPr>
              <w:t>Glucocorticoid</w:t>
            </w:r>
          </w:p>
        </w:tc>
        <w:tc>
          <w:tcPr>
            <w:tcW w:w="1346" w:type="dxa"/>
          </w:tcPr>
          <w:p w:rsidR="009C1B98" w:rsidRPr="00CA3BDF" w:rsidRDefault="00BC4C64" w:rsidP="009C1B9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Dexakel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0.2</w:t>
            </w:r>
          </w:p>
        </w:tc>
        <w:tc>
          <w:tcPr>
            <w:tcW w:w="2277" w:type="dxa"/>
          </w:tcPr>
          <w:p w:rsidR="009C1B98" w:rsidRPr="00CA3BDF" w:rsidRDefault="00C63939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Dexamethasone Sodium Phosphate 2</w:t>
            </w:r>
          </w:p>
        </w:tc>
        <w:tc>
          <w:tcPr>
            <w:tcW w:w="1801" w:type="dxa"/>
          </w:tcPr>
          <w:p w:rsidR="009C1B98" w:rsidRPr="00CA3BDF" w:rsidRDefault="00BC4C64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Metabolic disorders such as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acetonaemia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in cattle, and pregnancy toxaemia in sheep.</w:t>
            </w:r>
          </w:p>
          <w:p w:rsidR="00BC4C64" w:rsidRPr="00CA3BDF" w:rsidRDefault="00BC4C64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lastRenderedPageBreak/>
              <w:t>Allergic conditions such as pruritic skin</w:t>
            </w:r>
          </w:p>
          <w:p w:rsidR="00BC4C64" w:rsidRPr="00CA3BDF" w:rsidRDefault="00C63939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Induction of parturition in cattle</w:t>
            </w:r>
          </w:p>
        </w:tc>
        <w:tc>
          <w:tcPr>
            <w:tcW w:w="3128" w:type="dxa"/>
          </w:tcPr>
          <w:p w:rsidR="00C63939" w:rsidRPr="00CA3BDF" w:rsidRDefault="00C63939" w:rsidP="00C63939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lastRenderedPageBreak/>
              <w:t>IV or IM use;</w:t>
            </w:r>
          </w:p>
          <w:p w:rsidR="00C63939" w:rsidRPr="00CA3BDF" w:rsidRDefault="00C63939" w:rsidP="00C63939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Horses &amp; cattle</w:t>
            </w:r>
          </w:p>
          <w:p w:rsidR="00C63939" w:rsidRPr="00CA3BDF" w:rsidRDefault="00C63939" w:rsidP="00C63939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 (10-30 mg/kg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dexanlethasone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C63939" w:rsidRPr="00CA3BDF" w:rsidRDefault="00C63939" w:rsidP="00C63939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Foals &amp; calves</w:t>
            </w:r>
          </w:p>
          <w:p w:rsidR="00C63939" w:rsidRPr="00CA3BDF" w:rsidRDefault="00C63939" w:rsidP="00C63939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 (2 -5 mg/kg dexamethasone)</w:t>
            </w:r>
          </w:p>
          <w:p w:rsidR="009C1B98" w:rsidRDefault="00C63939" w:rsidP="00C63939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Sheep, goats &amp; pigs (2 -5 mg /kg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dexanlethasone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EA29DA" w:rsidRPr="00CA3BDF" w:rsidRDefault="00EA29DA" w:rsidP="00C639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C1B98" w:rsidRPr="00CA3BDF" w:rsidRDefault="00C63939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diabetes, osteoporosis and fractures, heart and renal insufficiency, and pregnancy.</w:t>
            </w:r>
          </w:p>
        </w:tc>
        <w:tc>
          <w:tcPr>
            <w:tcW w:w="1519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</w:tcPr>
          <w:p w:rsidR="009C1B98" w:rsidRPr="00EA29DA" w:rsidRDefault="009C1B98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7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28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</w:tcPr>
          <w:p w:rsidR="009C1B98" w:rsidRPr="00EA29DA" w:rsidRDefault="00F95555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29DA">
              <w:rPr>
                <w:rFonts w:asciiTheme="majorHAnsi" w:hAnsiTheme="majorHAnsi"/>
                <w:b/>
                <w:sz w:val="20"/>
                <w:szCs w:val="20"/>
              </w:rPr>
              <w:t>Inhibit insulin</w:t>
            </w:r>
          </w:p>
        </w:tc>
        <w:tc>
          <w:tcPr>
            <w:tcW w:w="1346" w:type="dxa"/>
          </w:tcPr>
          <w:p w:rsidR="009C1B98" w:rsidRPr="00CA3BDF" w:rsidRDefault="000C44D4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PROGLYCEM</w:t>
            </w:r>
          </w:p>
        </w:tc>
        <w:tc>
          <w:tcPr>
            <w:tcW w:w="2277" w:type="dxa"/>
          </w:tcPr>
          <w:p w:rsidR="009C1B98" w:rsidRPr="00CA3BDF" w:rsidRDefault="00F95555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Diazoxide</w:t>
            </w:r>
          </w:p>
        </w:tc>
        <w:tc>
          <w:tcPr>
            <w:tcW w:w="1801" w:type="dxa"/>
          </w:tcPr>
          <w:p w:rsidR="009C1B98" w:rsidRPr="00CA3BDF" w:rsidRDefault="00F95555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symptomatic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hypoglycemia</w:t>
            </w:r>
            <w:proofErr w:type="spellEnd"/>
          </w:p>
        </w:tc>
        <w:tc>
          <w:tcPr>
            <w:tcW w:w="3128" w:type="dxa"/>
          </w:tcPr>
          <w:p w:rsidR="009C1B98" w:rsidRPr="00CA3BDF" w:rsidRDefault="000C44D4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Depends on severity</w:t>
            </w:r>
          </w:p>
        </w:tc>
        <w:tc>
          <w:tcPr>
            <w:tcW w:w="2160" w:type="dxa"/>
          </w:tcPr>
          <w:p w:rsidR="009C1B98" w:rsidRPr="00CA3BDF" w:rsidRDefault="000C44D4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Diazoxide should not be used in patients with functional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hypoglycemia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or for treating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hypoglycemia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secondary to insulin </w:t>
            </w:r>
            <w:proofErr w:type="spellStart"/>
            <w:r w:rsidR="002F223C" w:rsidRPr="00CA3BDF">
              <w:rPr>
                <w:rFonts w:asciiTheme="majorHAnsi" w:hAnsiTheme="majorHAnsi"/>
                <w:sz w:val="20"/>
                <w:szCs w:val="20"/>
              </w:rPr>
              <w:t>overdosage</w:t>
            </w:r>
            <w:proofErr w:type="spellEnd"/>
            <w:r w:rsidR="002F223C" w:rsidRPr="00CA3BDF">
              <w:rPr>
                <w:rFonts w:asciiTheme="majorHAnsi" w:hAnsiTheme="majorHAnsi"/>
                <w:sz w:val="20"/>
                <w:szCs w:val="20"/>
              </w:rPr>
              <w:t xml:space="preserve"> in diabetic patients</w:t>
            </w:r>
            <w:r w:rsidRPr="00CA3BDF">
              <w:rPr>
                <w:rFonts w:asciiTheme="majorHAnsi" w:hAnsiTheme="majorHAnsi"/>
                <w:sz w:val="20"/>
                <w:szCs w:val="20"/>
              </w:rPr>
              <w:t>, use</w:t>
            </w:r>
            <w:r w:rsidRPr="00CA3BDF">
              <w:rPr>
                <w:rFonts w:asciiTheme="majorHAnsi" w:hAnsiTheme="majorHAnsi"/>
                <w:sz w:val="20"/>
                <w:szCs w:val="20"/>
              </w:rPr>
              <w:br/>
              <w:t>cautiously in patients with congestive heart failure or renal disease.</w:t>
            </w:r>
          </w:p>
        </w:tc>
        <w:tc>
          <w:tcPr>
            <w:tcW w:w="1519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</w:tcPr>
          <w:p w:rsidR="009C1B98" w:rsidRPr="00EA29DA" w:rsidRDefault="009C1B98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7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28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  <w:vMerge w:val="restart"/>
          </w:tcPr>
          <w:p w:rsidR="00EA29DA" w:rsidRPr="00EA29DA" w:rsidRDefault="00EA29DA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29DA">
              <w:rPr>
                <w:rFonts w:asciiTheme="majorHAnsi" w:hAnsiTheme="majorHAnsi"/>
                <w:b/>
                <w:sz w:val="20"/>
                <w:szCs w:val="20"/>
              </w:rPr>
              <w:t>Neurologic</w:t>
            </w:r>
          </w:p>
        </w:tc>
        <w:tc>
          <w:tcPr>
            <w:tcW w:w="1346" w:type="dxa"/>
          </w:tcPr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Atropine Sulphate</w:t>
            </w:r>
          </w:p>
        </w:tc>
        <w:tc>
          <w:tcPr>
            <w:tcW w:w="2277" w:type="dxa"/>
          </w:tcPr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Atropine Sulphate</w:t>
            </w:r>
          </w:p>
        </w:tc>
        <w:tc>
          <w:tcPr>
            <w:tcW w:w="1801" w:type="dxa"/>
          </w:tcPr>
          <w:p w:rsidR="00EA29DA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use as an antidote in the treatment of organophosphate insecticide poisoning of cattle, horses and sheep</w:t>
            </w:r>
          </w:p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28" w:type="dxa"/>
          </w:tcPr>
          <w:p w:rsidR="00EA29DA" w:rsidRPr="00CA3BDF" w:rsidRDefault="00EA29DA" w:rsidP="000C44D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A29DA" w:rsidRPr="00CA3BDF" w:rsidRDefault="00EA29DA" w:rsidP="000C44D4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Horses - </w:t>
            </w:r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>0.01 – 0.02 mg/kg IV</w:t>
            </w:r>
          </w:p>
          <w:p w:rsidR="00EA29DA" w:rsidRPr="00CA3BDF" w:rsidRDefault="00EA29DA" w:rsidP="000C44D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A29DA" w:rsidRPr="00CA3BDF" w:rsidRDefault="00EA29DA" w:rsidP="000C44D4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Sheep - </w:t>
            </w:r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>0.15 – 0.3 mg/kg IM</w:t>
            </w:r>
          </w:p>
        </w:tc>
        <w:tc>
          <w:tcPr>
            <w:tcW w:w="2160" w:type="dxa"/>
          </w:tcPr>
          <w:p w:rsidR="00EA29DA" w:rsidRPr="00CA3BDF" w:rsidRDefault="00EA29DA" w:rsidP="000C44D4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Contraindicated in conditions where anticholinergic effects would be detrimental (e.g., narrow angle glaucoma,</w:t>
            </w:r>
          </w:p>
          <w:p w:rsidR="00EA29DA" w:rsidRPr="00CA3BDF" w:rsidRDefault="00EA29DA" w:rsidP="000C44D4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tachycardias, ileus, urinary obstruction)</w:t>
            </w:r>
          </w:p>
        </w:tc>
        <w:tc>
          <w:tcPr>
            <w:tcW w:w="1519" w:type="dxa"/>
          </w:tcPr>
          <w:p w:rsidR="00EA29DA" w:rsidRPr="00CA3BDF" w:rsidRDefault="00EA29DA" w:rsidP="005C56DF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CA3BDF">
              <w:rPr>
                <w:rFonts w:asciiTheme="majorHAnsi" w:hAnsiTheme="majorHAnsi"/>
                <w:sz w:val="20"/>
                <w:szCs w:val="20"/>
              </w:rPr>
              <w:t>28 day</w:t>
            </w:r>
            <w:proofErr w:type="gram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meat</w:t>
            </w:r>
          </w:p>
          <w:p w:rsidR="00EA29DA" w:rsidRPr="00CA3BDF" w:rsidRDefault="00EA29DA" w:rsidP="005C56DF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CA3BDF">
              <w:rPr>
                <w:rFonts w:asciiTheme="majorHAnsi" w:hAnsiTheme="majorHAnsi"/>
                <w:sz w:val="20"/>
                <w:szCs w:val="20"/>
              </w:rPr>
              <w:t>6 day</w:t>
            </w:r>
            <w:proofErr w:type="gram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milk </w:t>
            </w:r>
          </w:p>
        </w:tc>
      </w:tr>
      <w:tr w:rsidR="00EA29DA" w:rsidRPr="00CA3BDF" w:rsidTr="00D86F97">
        <w:tc>
          <w:tcPr>
            <w:tcW w:w="1737" w:type="dxa"/>
            <w:vMerge/>
          </w:tcPr>
          <w:p w:rsidR="00EA29DA" w:rsidRPr="00EA29DA" w:rsidRDefault="00EA29DA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Buscopan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Injectable Solution</w:t>
            </w:r>
          </w:p>
        </w:tc>
        <w:tc>
          <w:tcPr>
            <w:tcW w:w="2277" w:type="dxa"/>
          </w:tcPr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N-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butylscopolammonium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bromide</w:t>
            </w:r>
          </w:p>
        </w:tc>
        <w:tc>
          <w:tcPr>
            <w:tcW w:w="1801" w:type="dxa"/>
          </w:tcPr>
          <w:p w:rsidR="00EA29DA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Antispasmodic (spasmolytic) and anticholinergic drug for intravenous use in horses only (Colic)</w:t>
            </w:r>
          </w:p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28" w:type="dxa"/>
          </w:tcPr>
          <w:p w:rsidR="00EA29DA" w:rsidRPr="00CA3BDF" w:rsidRDefault="00EA29DA" w:rsidP="000C44D4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0.3 mg/kg body weight IV</w:t>
            </w:r>
          </w:p>
        </w:tc>
        <w:tc>
          <w:tcPr>
            <w:tcW w:w="2160" w:type="dxa"/>
          </w:tcPr>
          <w:p w:rsidR="00EA29DA" w:rsidRPr="00CA3BDF" w:rsidRDefault="00EA29DA" w:rsidP="000C44D4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should not be used in impaction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colics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associated with ileus, or in horses with glaucoma</w:t>
            </w:r>
          </w:p>
        </w:tc>
        <w:tc>
          <w:tcPr>
            <w:tcW w:w="1519" w:type="dxa"/>
          </w:tcPr>
          <w:p w:rsidR="00EA29DA" w:rsidRPr="00CA3BDF" w:rsidRDefault="00EA29DA" w:rsidP="005C56D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  <w:vMerge/>
          </w:tcPr>
          <w:p w:rsidR="00EA29DA" w:rsidRPr="00EA29DA" w:rsidRDefault="00EA29DA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NEUROMAX 1,5%</w:t>
            </w:r>
          </w:p>
        </w:tc>
        <w:tc>
          <w:tcPr>
            <w:tcW w:w="2277" w:type="dxa"/>
          </w:tcPr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Ammonium chloride.</w:t>
            </w:r>
          </w:p>
        </w:tc>
        <w:tc>
          <w:tcPr>
            <w:tcW w:w="1801" w:type="dxa"/>
          </w:tcPr>
          <w:p w:rsidR="00EA29DA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Reversible block of nerve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fibers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. Neuralgia, myalgia. Myositis, muscular contracture. Articular degenerative </w:t>
            </w:r>
          </w:p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disease. Bursitis. Synovitis.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Periostitis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128" w:type="dxa"/>
          </w:tcPr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Dosage depends on the area to be treated. Perineural application. Digital nerves 2 to 4 ml. Palmar nerves 3 to 5 ml. Superficial peroneal nerve 3 ml. Deep peroneal nerve 5 to 7 ml. Tibial nerve 5 to 7 ml. Dorsal Metacarpal/metatarsal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periostitis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A3BDF">
              <w:rPr>
                <w:rFonts w:asciiTheme="majorHAnsi" w:hAnsiTheme="majorHAnsi"/>
                <w:sz w:val="20"/>
                <w:szCs w:val="20"/>
              </w:rPr>
              <w:lastRenderedPageBreak/>
              <w:t>and/or Intermetacarpal/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intermetatarsal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osteitis: 5 ml or more, according to Vet prescription. Intramuscular infiltrations: 5 ml x point of application, with a total 50 ml dose per croup, blade, or back.</w:t>
            </w:r>
          </w:p>
        </w:tc>
        <w:tc>
          <w:tcPr>
            <w:tcW w:w="2160" w:type="dxa"/>
          </w:tcPr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</w:tcPr>
          <w:p w:rsidR="009C1B98" w:rsidRPr="00EA29DA" w:rsidRDefault="00E00237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29DA">
              <w:rPr>
                <w:rFonts w:asciiTheme="majorHAnsi" w:hAnsiTheme="majorHAnsi"/>
                <w:b/>
                <w:sz w:val="20"/>
                <w:szCs w:val="20"/>
              </w:rPr>
              <w:t xml:space="preserve">Metabolic </w:t>
            </w:r>
          </w:p>
        </w:tc>
        <w:tc>
          <w:tcPr>
            <w:tcW w:w="1346" w:type="dxa"/>
          </w:tcPr>
          <w:p w:rsidR="009C1B98" w:rsidRPr="00CA3BDF" w:rsidRDefault="00E615B0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 xml:space="preserve">Sodium bicarbonate </w:t>
            </w:r>
          </w:p>
        </w:tc>
        <w:tc>
          <w:tcPr>
            <w:tcW w:w="2277" w:type="dxa"/>
          </w:tcPr>
          <w:p w:rsidR="009C1B98" w:rsidRPr="00CA3BDF" w:rsidRDefault="00E615B0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Sodium bicarbonate</w:t>
            </w:r>
          </w:p>
        </w:tc>
        <w:tc>
          <w:tcPr>
            <w:tcW w:w="1801" w:type="dxa"/>
          </w:tcPr>
          <w:p w:rsidR="009C1B98" w:rsidRPr="00CA3BDF" w:rsidRDefault="00E615B0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>Alkalinizing agent used to treat metabolic acidosis &amp;</w:t>
            </w:r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br/>
              <w:t xml:space="preserve">alkalinize urine; may be used adjunctively for </w:t>
            </w:r>
            <w:proofErr w:type="spellStart"/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>hypercalcemic</w:t>
            </w:r>
            <w:proofErr w:type="spellEnd"/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 xml:space="preserve"> or </w:t>
            </w:r>
            <w:proofErr w:type="spellStart"/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>hyperkalemic</w:t>
            </w:r>
            <w:proofErr w:type="spellEnd"/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 xml:space="preserve"> crises</w:t>
            </w:r>
          </w:p>
        </w:tc>
        <w:tc>
          <w:tcPr>
            <w:tcW w:w="3128" w:type="dxa"/>
          </w:tcPr>
          <w:p w:rsidR="009C1B98" w:rsidRPr="00CA3BDF" w:rsidRDefault="00E615B0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Cattle: </w:t>
            </w:r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 xml:space="preserve">2 – 5 </w:t>
            </w:r>
            <w:proofErr w:type="spellStart"/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>mEq</w:t>
            </w:r>
            <w:proofErr w:type="spellEnd"/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 xml:space="preserve">/kg IV for a 4 – </w:t>
            </w:r>
            <w:proofErr w:type="gramStart"/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>8 hour</w:t>
            </w:r>
            <w:proofErr w:type="gramEnd"/>
            <w:r w:rsidRPr="00CA3BDF">
              <w:rPr>
                <w:rFonts w:asciiTheme="majorHAnsi" w:hAnsiTheme="majorHAnsi"/>
                <w:color w:val="231F20"/>
                <w:sz w:val="20"/>
                <w:szCs w:val="20"/>
              </w:rPr>
              <w:t xml:space="preserve"> period</w:t>
            </w:r>
          </w:p>
        </w:tc>
        <w:tc>
          <w:tcPr>
            <w:tcW w:w="2160" w:type="dxa"/>
          </w:tcPr>
          <w:p w:rsidR="00E615B0" w:rsidRPr="00CA3BDF" w:rsidRDefault="00E615B0" w:rsidP="00E615B0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contraindicated in patients with metabolic or respiratory</w:t>
            </w:r>
          </w:p>
          <w:p w:rsidR="00E615B0" w:rsidRPr="00CA3BDF" w:rsidRDefault="00E615B0" w:rsidP="00E615B0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alkalosis, excessive chloride loss secondary to vomiting</w:t>
            </w:r>
          </w:p>
          <w:p w:rsidR="00E615B0" w:rsidRPr="00CA3BDF" w:rsidRDefault="00E615B0" w:rsidP="00E615B0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or GI suction, at risk for development of diuretic-induced</w:t>
            </w:r>
          </w:p>
          <w:p w:rsidR="009C1B98" w:rsidRDefault="00E615B0" w:rsidP="00E615B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hypochloremic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alkalosis, or with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hypocalcemia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where alkalosis may induce tetany</w:t>
            </w:r>
          </w:p>
          <w:p w:rsidR="00EA29DA" w:rsidRPr="00CA3BDF" w:rsidRDefault="00EA29DA" w:rsidP="00E615B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</w:tcPr>
          <w:p w:rsidR="000E38CE" w:rsidRPr="00EA29DA" w:rsidRDefault="000E38CE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0E38CE" w:rsidRPr="00CA3BDF" w:rsidRDefault="000E38CE" w:rsidP="009C1B98">
            <w:pPr>
              <w:rPr>
                <w:rFonts w:asciiTheme="majorHAnsi" w:hAnsiTheme="majorHAnsi"/>
                <w:color w:val="231F20"/>
                <w:sz w:val="20"/>
                <w:szCs w:val="20"/>
              </w:rPr>
            </w:pPr>
          </w:p>
        </w:tc>
        <w:tc>
          <w:tcPr>
            <w:tcW w:w="2277" w:type="dxa"/>
          </w:tcPr>
          <w:p w:rsidR="000E38CE" w:rsidRPr="00CA3BDF" w:rsidRDefault="000E38CE" w:rsidP="000E38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0E38CE" w:rsidRPr="00CA3BDF" w:rsidRDefault="000E38CE" w:rsidP="009C1B98">
            <w:pPr>
              <w:rPr>
                <w:rFonts w:asciiTheme="majorHAnsi" w:hAnsiTheme="majorHAnsi"/>
                <w:color w:val="231F20"/>
                <w:sz w:val="20"/>
                <w:szCs w:val="20"/>
              </w:rPr>
            </w:pPr>
          </w:p>
        </w:tc>
        <w:tc>
          <w:tcPr>
            <w:tcW w:w="3128" w:type="dxa"/>
          </w:tcPr>
          <w:p w:rsidR="000E38CE" w:rsidRPr="00CA3BDF" w:rsidRDefault="000E38CE" w:rsidP="000E38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0E38CE" w:rsidRPr="00CA3BDF" w:rsidRDefault="000E38CE" w:rsidP="00E615B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E38CE" w:rsidRPr="00CA3BDF" w:rsidRDefault="000E38CE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</w:tcPr>
          <w:p w:rsidR="009C1B98" w:rsidRPr="00EA29DA" w:rsidRDefault="008A4759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29DA">
              <w:rPr>
                <w:rFonts w:asciiTheme="majorHAnsi" w:hAnsiTheme="majorHAnsi"/>
                <w:b/>
                <w:sz w:val="20"/>
                <w:szCs w:val="20"/>
              </w:rPr>
              <w:t>Diuretic</w:t>
            </w:r>
          </w:p>
        </w:tc>
        <w:tc>
          <w:tcPr>
            <w:tcW w:w="1346" w:type="dxa"/>
          </w:tcPr>
          <w:p w:rsidR="009C1B98" w:rsidRPr="00CA3BDF" w:rsidRDefault="008A4759" w:rsidP="009C1B9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Urolix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Diuretico</w:t>
            </w:r>
            <w:proofErr w:type="spellEnd"/>
          </w:p>
        </w:tc>
        <w:tc>
          <w:tcPr>
            <w:tcW w:w="2277" w:type="dxa"/>
          </w:tcPr>
          <w:p w:rsidR="009C1B98" w:rsidRPr="00CA3BDF" w:rsidRDefault="008A4759" w:rsidP="009C1B9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Antranilic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sulfamoyl</w:t>
            </w:r>
            <w:proofErr w:type="spellEnd"/>
          </w:p>
        </w:tc>
        <w:tc>
          <w:tcPr>
            <w:tcW w:w="1801" w:type="dxa"/>
          </w:tcPr>
          <w:p w:rsidR="009C1B98" w:rsidRDefault="008A4759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reduces </w:t>
            </w: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edemas</w:t>
            </w:r>
            <w:proofErr w:type="spellEnd"/>
            <w:r w:rsidRPr="00CA3BDF">
              <w:rPr>
                <w:rFonts w:asciiTheme="majorHAnsi" w:hAnsiTheme="majorHAnsi"/>
                <w:sz w:val="20"/>
                <w:szCs w:val="20"/>
              </w:rPr>
              <w:t xml:space="preserve"> caused by renal, hepatic and cardiac affections or burns</w:t>
            </w:r>
          </w:p>
          <w:p w:rsidR="00EA29DA" w:rsidRPr="00CA3BDF" w:rsidRDefault="00EA29DA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28" w:type="dxa"/>
          </w:tcPr>
          <w:p w:rsidR="009C1B98" w:rsidRPr="00CA3BDF" w:rsidRDefault="008A4759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Bovine: 1.5 mg per kg of body weight), twice a day in a period of 6 to 8 hours.</w:t>
            </w:r>
          </w:p>
        </w:tc>
        <w:tc>
          <w:tcPr>
            <w:tcW w:w="2160" w:type="dxa"/>
          </w:tcPr>
          <w:p w:rsidR="009C1B98" w:rsidRPr="00CA3BDF" w:rsidRDefault="008A4759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Do not administer to dehydrated animals.</w:t>
            </w:r>
          </w:p>
        </w:tc>
        <w:tc>
          <w:tcPr>
            <w:tcW w:w="1519" w:type="dxa"/>
          </w:tcPr>
          <w:p w:rsidR="009C1B98" w:rsidRPr="00CA3BDF" w:rsidRDefault="008A4759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2 days meat;</w:t>
            </w:r>
          </w:p>
          <w:p w:rsidR="008A4759" w:rsidRPr="00CA3BDF" w:rsidRDefault="008A4759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A4759" w:rsidRPr="00CA3BDF" w:rsidRDefault="008A4759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2 days milk</w:t>
            </w:r>
          </w:p>
        </w:tc>
      </w:tr>
      <w:tr w:rsidR="00EA29DA" w:rsidRPr="00CA3BDF" w:rsidTr="00D86F97">
        <w:tc>
          <w:tcPr>
            <w:tcW w:w="1737" w:type="dxa"/>
          </w:tcPr>
          <w:p w:rsidR="009C1B98" w:rsidRPr="00EA29DA" w:rsidRDefault="005719AA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29DA">
              <w:rPr>
                <w:rFonts w:asciiTheme="majorHAnsi" w:hAnsiTheme="majorHAnsi"/>
                <w:b/>
                <w:sz w:val="20"/>
                <w:szCs w:val="20"/>
              </w:rPr>
              <w:t>Wound healing/prevents infection</w:t>
            </w:r>
          </w:p>
          <w:p w:rsidR="00EA29DA" w:rsidRPr="00EA29DA" w:rsidRDefault="00EA29DA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9C1B98" w:rsidRPr="00CA3BDF" w:rsidRDefault="008A4759" w:rsidP="009C1B9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A3BDF">
              <w:rPr>
                <w:rFonts w:asciiTheme="majorHAnsi" w:hAnsiTheme="majorHAnsi"/>
                <w:sz w:val="20"/>
                <w:szCs w:val="20"/>
              </w:rPr>
              <w:t>Aluspray</w:t>
            </w:r>
            <w:proofErr w:type="spellEnd"/>
          </w:p>
        </w:tc>
        <w:tc>
          <w:tcPr>
            <w:tcW w:w="2277" w:type="dxa"/>
          </w:tcPr>
          <w:p w:rsidR="009C1B98" w:rsidRPr="00CA3BDF" w:rsidRDefault="008A4759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aluminium powder</w:t>
            </w:r>
          </w:p>
        </w:tc>
        <w:tc>
          <w:tcPr>
            <w:tcW w:w="1801" w:type="dxa"/>
          </w:tcPr>
          <w:p w:rsidR="009C1B98" w:rsidRPr="00CA3BDF" w:rsidRDefault="005719A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Open wounds</w:t>
            </w:r>
          </w:p>
        </w:tc>
        <w:tc>
          <w:tcPr>
            <w:tcW w:w="3128" w:type="dxa"/>
          </w:tcPr>
          <w:p w:rsidR="009C1B98" w:rsidRPr="00CA3BDF" w:rsidRDefault="0081546C" w:rsidP="009C1B9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Apply to sterile wound</w:t>
            </w:r>
          </w:p>
        </w:tc>
        <w:tc>
          <w:tcPr>
            <w:tcW w:w="2160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9C1B98" w:rsidRPr="00CA3BDF" w:rsidRDefault="009C1B98" w:rsidP="009C1B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29DA" w:rsidRPr="00CA3BDF" w:rsidTr="00D86F97">
        <w:tc>
          <w:tcPr>
            <w:tcW w:w="1737" w:type="dxa"/>
          </w:tcPr>
          <w:p w:rsidR="009C1B98" w:rsidRPr="00EA29DA" w:rsidRDefault="005719AA" w:rsidP="009C1B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29DA">
              <w:rPr>
                <w:rFonts w:asciiTheme="majorHAnsi" w:hAnsiTheme="majorHAnsi"/>
                <w:b/>
                <w:sz w:val="20"/>
                <w:szCs w:val="20"/>
              </w:rPr>
              <w:t>Anti-toxin</w:t>
            </w:r>
          </w:p>
        </w:tc>
        <w:tc>
          <w:tcPr>
            <w:tcW w:w="1346" w:type="dxa"/>
          </w:tcPr>
          <w:p w:rsidR="009C1B98" w:rsidRPr="00CA3BDF" w:rsidRDefault="005719A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Tetanus Antitoxin</w:t>
            </w:r>
          </w:p>
        </w:tc>
        <w:tc>
          <w:tcPr>
            <w:tcW w:w="2277" w:type="dxa"/>
          </w:tcPr>
          <w:p w:rsidR="009C1B98" w:rsidRPr="00CA3BDF" w:rsidRDefault="005719A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Tetanus toxoid</w:t>
            </w:r>
          </w:p>
        </w:tc>
        <w:tc>
          <w:tcPr>
            <w:tcW w:w="1801" w:type="dxa"/>
          </w:tcPr>
          <w:p w:rsidR="009C1B98" w:rsidRPr="00CA3BDF" w:rsidRDefault="005719A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prevention and treatment of tetanus in animals</w:t>
            </w:r>
          </w:p>
        </w:tc>
        <w:tc>
          <w:tcPr>
            <w:tcW w:w="3128" w:type="dxa"/>
          </w:tcPr>
          <w:p w:rsidR="005719AA" w:rsidRPr="00CA3BDF" w:rsidRDefault="005719AA" w:rsidP="005719AA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1500 u</w:t>
            </w:r>
            <w:r w:rsidR="0081546C">
              <w:rPr>
                <w:rFonts w:asciiTheme="majorHAnsi" w:hAnsiTheme="majorHAnsi"/>
                <w:sz w:val="20"/>
                <w:szCs w:val="20"/>
              </w:rPr>
              <w:t>nits administered SC or IM</w:t>
            </w:r>
            <w:r w:rsidRPr="00CA3BDF">
              <w:rPr>
                <w:rFonts w:asciiTheme="majorHAnsi" w:hAnsiTheme="majorHAnsi"/>
                <w:sz w:val="20"/>
                <w:szCs w:val="20"/>
              </w:rPr>
              <w:t xml:space="preserve"> for prevention.</w:t>
            </w:r>
          </w:p>
          <w:p w:rsidR="005719AA" w:rsidRPr="00CA3BDF" w:rsidRDefault="005719AA" w:rsidP="005719A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C1B98" w:rsidRPr="00CA3BDF" w:rsidRDefault="005719AA" w:rsidP="00EA29DA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 xml:space="preserve">For treatment; administer 10,000 to 50,000 units to horses and cattle, 3,000 to </w:t>
            </w:r>
            <w:r w:rsidR="00EA29DA">
              <w:rPr>
                <w:rFonts w:asciiTheme="majorHAnsi" w:hAnsiTheme="majorHAnsi"/>
                <w:sz w:val="20"/>
                <w:szCs w:val="20"/>
              </w:rPr>
              <w:t>15,000 units to sheep and swine</w:t>
            </w:r>
          </w:p>
        </w:tc>
        <w:tc>
          <w:tcPr>
            <w:tcW w:w="2160" w:type="dxa"/>
          </w:tcPr>
          <w:p w:rsidR="009C1B98" w:rsidRPr="00CA3BDF" w:rsidRDefault="005719AA" w:rsidP="00EA29DA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Anaphylactoid reaction may occur following administration</w:t>
            </w:r>
            <w:r w:rsidR="00EA29DA">
              <w:rPr>
                <w:rFonts w:asciiTheme="majorHAnsi" w:hAnsiTheme="majorHAnsi"/>
                <w:sz w:val="20"/>
                <w:szCs w:val="20"/>
              </w:rPr>
              <w:t xml:space="preserve"> fre</w:t>
            </w:r>
            <w:r w:rsidRPr="00CA3BDF">
              <w:rPr>
                <w:rFonts w:asciiTheme="majorHAnsi" w:hAnsiTheme="majorHAnsi"/>
                <w:sz w:val="20"/>
                <w:szCs w:val="20"/>
              </w:rPr>
              <w:t>quently in horses.</w:t>
            </w:r>
          </w:p>
        </w:tc>
        <w:tc>
          <w:tcPr>
            <w:tcW w:w="1519" w:type="dxa"/>
          </w:tcPr>
          <w:p w:rsidR="009C1B98" w:rsidRPr="00CA3BDF" w:rsidRDefault="005719AA" w:rsidP="009C1B98">
            <w:pPr>
              <w:rPr>
                <w:rFonts w:asciiTheme="majorHAnsi" w:hAnsiTheme="majorHAnsi"/>
                <w:sz w:val="20"/>
                <w:szCs w:val="20"/>
              </w:rPr>
            </w:pPr>
            <w:r w:rsidRPr="00CA3BDF">
              <w:rPr>
                <w:rFonts w:asciiTheme="majorHAnsi" w:hAnsiTheme="majorHAnsi"/>
                <w:sz w:val="20"/>
                <w:szCs w:val="20"/>
              </w:rPr>
              <w:t>Do not vaccinate within 21 days before slaughter</w:t>
            </w:r>
          </w:p>
        </w:tc>
      </w:tr>
    </w:tbl>
    <w:p w:rsidR="00AF3AE5" w:rsidRDefault="00AF3AE5">
      <w:pPr>
        <w:rPr>
          <w:rFonts w:asciiTheme="majorHAnsi" w:hAnsiTheme="majorHAnsi"/>
          <w:sz w:val="20"/>
          <w:szCs w:val="20"/>
        </w:rPr>
      </w:pPr>
    </w:p>
    <w:p w:rsidR="001A7974" w:rsidRDefault="001A7974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126"/>
        <w:gridCol w:w="1843"/>
        <w:gridCol w:w="3081"/>
        <w:gridCol w:w="2062"/>
        <w:gridCol w:w="1519"/>
      </w:tblGrid>
      <w:tr w:rsidR="001A7974" w:rsidTr="005F5ACC">
        <w:tc>
          <w:tcPr>
            <w:tcW w:w="1838" w:type="dxa"/>
          </w:tcPr>
          <w:p w:rsidR="001A7974" w:rsidRPr="005F5ACC" w:rsidRDefault="001A79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F5AC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Respiratory Stimulant</w:t>
            </w:r>
          </w:p>
        </w:tc>
        <w:tc>
          <w:tcPr>
            <w:tcW w:w="1418" w:type="dxa"/>
          </w:tcPr>
          <w:p w:rsidR="005F5ACC" w:rsidRDefault="005F5AC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A7974" w:rsidRDefault="005F5AC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Dopram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injection</w:t>
            </w:r>
          </w:p>
        </w:tc>
        <w:tc>
          <w:tcPr>
            <w:tcW w:w="2126" w:type="dxa"/>
          </w:tcPr>
          <w:p w:rsidR="005F5ACC" w:rsidRDefault="005F5AC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A7974" w:rsidRDefault="005F5AC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Doxapram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HCL</w:t>
            </w:r>
          </w:p>
        </w:tc>
        <w:tc>
          <w:tcPr>
            <w:tcW w:w="1843" w:type="dxa"/>
          </w:tcPr>
          <w:p w:rsidR="005F5ACC" w:rsidRDefault="005F5ACC">
            <w:pPr>
              <w:rPr>
                <w:rFonts w:cs="Arial"/>
                <w:color w:val="1F1746"/>
                <w:spacing w:val="3"/>
                <w:sz w:val="20"/>
                <w:szCs w:val="20"/>
                <w:shd w:val="clear" w:color="auto" w:fill="FFFFFF"/>
              </w:rPr>
            </w:pPr>
          </w:p>
          <w:p w:rsidR="001A7974" w:rsidRDefault="005F5AC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cs="Arial"/>
                <w:color w:val="1F1746"/>
                <w:spacing w:val="3"/>
                <w:sz w:val="20"/>
                <w:szCs w:val="20"/>
                <w:shd w:val="clear" w:color="auto" w:fill="FFFFFF"/>
              </w:rPr>
              <w:t xml:space="preserve">A CNS </w:t>
            </w:r>
            <w:proofErr w:type="gramStart"/>
            <w:r>
              <w:rPr>
                <w:rFonts w:cs="Arial"/>
                <w:color w:val="1F1746"/>
                <w:spacing w:val="3"/>
                <w:sz w:val="20"/>
                <w:szCs w:val="20"/>
                <w:shd w:val="clear" w:color="auto" w:fill="FFFFFF"/>
              </w:rPr>
              <w:t>stimulant  used</w:t>
            </w:r>
            <w:proofErr w:type="gramEnd"/>
            <w:r>
              <w:rPr>
                <w:rFonts w:cs="Arial"/>
                <w:color w:val="1F1746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Pr="005F5ACC">
              <w:rPr>
                <w:rFonts w:cs="Arial"/>
                <w:color w:val="1F1746"/>
                <w:spacing w:val="3"/>
                <w:sz w:val="20"/>
                <w:szCs w:val="20"/>
                <w:shd w:val="clear" w:color="auto" w:fill="FFFFFF"/>
              </w:rPr>
              <w:t xml:space="preserve"> to stimulate the breathing process of an animal patient during or after </w:t>
            </w:r>
            <w:proofErr w:type="spellStart"/>
            <w:r w:rsidRPr="005F5ACC">
              <w:rPr>
                <w:rFonts w:cs="Arial"/>
                <w:color w:val="1F1746"/>
                <w:spacing w:val="3"/>
                <w:sz w:val="20"/>
                <w:szCs w:val="20"/>
                <w:shd w:val="clear" w:color="auto" w:fill="FFFFFF"/>
              </w:rPr>
              <w:t>anesthesia</w:t>
            </w:r>
            <w:proofErr w:type="spellEnd"/>
            <w:r w:rsidRPr="005F5ACC">
              <w:rPr>
                <w:rFonts w:cs="Arial"/>
                <w:color w:val="1F1746"/>
                <w:spacing w:val="3"/>
                <w:sz w:val="20"/>
                <w:szCs w:val="20"/>
                <w:shd w:val="clear" w:color="auto" w:fill="FFFFFF"/>
              </w:rPr>
              <w:t xml:space="preserve"> is administered. It is also used to initiate breathing in </w:t>
            </w:r>
            <w:proofErr w:type="spellStart"/>
            <w:r w:rsidRPr="005F5ACC">
              <w:rPr>
                <w:rFonts w:cs="Arial"/>
                <w:color w:val="1F1746"/>
                <w:spacing w:val="3"/>
                <w:sz w:val="20"/>
                <w:szCs w:val="20"/>
                <w:shd w:val="clear" w:color="auto" w:fill="FFFFFF"/>
              </w:rPr>
              <w:t>newborns</w:t>
            </w:r>
            <w:proofErr w:type="spellEnd"/>
            <w:r w:rsidRPr="005F5ACC">
              <w:rPr>
                <w:rFonts w:cs="Arial"/>
                <w:color w:val="1F1746"/>
                <w:spacing w:val="3"/>
                <w:sz w:val="20"/>
                <w:szCs w:val="20"/>
                <w:shd w:val="clear" w:color="auto" w:fill="FFFFFF"/>
              </w:rPr>
              <w:t xml:space="preserve"> that have undergone a difficult birth or a C-section</w:t>
            </w:r>
            <w:r>
              <w:rPr>
                <w:rFonts w:ascii="Arial" w:hAnsi="Arial" w:cs="Arial"/>
                <w:color w:val="1F1746"/>
                <w:spacing w:val="3"/>
                <w:shd w:val="clear" w:color="auto" w:fill="FFFFFF"/>
              </w:rPr>
              <w:t>.</w:t>
            </w:r>
          </w:p>
        </w:tc>
        <w:tc>
          <w:tcPr>
            <w:tcW w:w="3081" w:type="dxa"/>
          </w:tcPr>
          <w:p w:rsidR="005F5ACC" w:rsidRDefault="005F5ACC" w:rsidP="005F5ACC"/>
          <w:p w:rsidR="005F5ACC" w:rsidRDefault="005F5ACC" w:rsidP="005F5ACC">
            <w:r>
              <w:t xml:space="preserve">0.2mg/lb for horses </w:t>
            </w:r>
          </w:p>
          <w:p w:rsidR="001A7974" w:rsidRDefault="005F5ACC" w:rsidP="005F5ACC">
            <w:pPr>
              <w:rPr>
                <w:rFonts w:asciiTheme="majorHAnsi" w:hAnsiTheme="majorHAnsi"/>
                <w:sz w:val="20"/>
                <w:szCs w:val="20"/>
              </w:rPr>
            </w:pPr>
            <w:r>
              <w:t>Approx.- 0.44mg/kg in horses</w:t>
            </w:r>
          </w:p>
        </w:tc>
        <w:tc>
          <w:tcPr>
            <w:tcW w:w="2062" w:type="dxa"/>
          </w:tcPr>
          <w:p w:rsidR="001A7974" w:rsidRDefault="001A797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F5ACC" w:rsidRDefault="005F5ACC">
            <w:pPr>
              <w:rPr>
                <w:rFonts w:asciiTheme="majorHAnsi" w:hAnsiTheme="majorHAnsi"/>
                <w:sz w:val="20"/>
                <w:szCs w:val="20"/>
              </w:rPr>
            </w:pPr>
            <w:r w:rsidRPr="005F5ACC">
              <w:rPr>
                <w:rFonts w:cs="Segoe UI"/>
                <w:bCs/>
                <w:color w:val="484848"/>
                <w:sz w:val="20"/>
                <w:szCs w:val="20"/>
                <w:shd w:val="clear" w:color="auto" w:fill="FFFFFF"/>
              </w:rPr>
              <w:t>Excessive doses may produce hyperventilation which may lead to respiratory alkalosis</w:t>
            </w:r>
            <w:r>
              <w:rPr>
                <w:rFonts w:ascii="Segoe UI" w:hAnsi="Segoe UI" w:cs="Segoe UI"/>
                <w:b/>
                <w:bCs/>
                <w:color w:val="484848"/>
                <w:shd w:val="clear" w:color="auto" w:fill="FFFFFF"/>
              </w:rPr>
              <w:t>.</w:t>
            </w:r>
          </w:p>
        </w:tc>
        <w:tc>
          <w:tcPr>
            <w:tcW w:w="1519" w:type="dxa"/>
          </w:tcPr>
          <w:p w:rsidR="001A7974" w:rsidRDefault="001A797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A1BBB" w:rsidRDefault="003A1BB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A1BBB" w:rsidRDefault="003A1B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>_____</w:t>
            </w:r>
          </w:p>
        </w:tc>
      </w:tr>
    </w:tbl>
    <w:p w:rsidR="001A7974" w:rsidRPr="00CA3BDF" w:rsidRDefault="001A7974">
      <w:pPr>
        <w:rPr>
          <w:rFonts w:asciiTheme="majorHAnsi" w:hAnsiTheme="majorHAnsi"/>
          <w:sz w:val="20"/>
          <w:szCs w:val="20"/>
        </w:rPr>
      </w:pPr>
    </w:p>
    <w:p w:rsidR="00AF3AE5" w:rsidRPr="00CA3BDF" w:rsidRDefault="00AF3AE5" w:rsidP="00AF3AE5">
      <w:pPr>
        <w:rPr>
          <w:rFonts w:asciiTheme="majorHAnsi" w:hAnsiTheme="majorHAnsi"/>
          <w:sz w:val="20"/>
          <w:szCs w:val="20"/>
        </w:rPr>
      </w:pPr>
    </w:p>
    <w:sectPr w:rsidR="00AF3AE5" w:rsidRPr="00CA3BDF" w:rsidSect="00A53828">
      <w:pgSz w:w="15840" w:h="12240" w:orient="landscape"/>
      <w:pgMar w:top="720" w:right="72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4E98"/>
    <w:multiLevelType w:val="hybridMultilevel"/>
    <w:tmpl w:val="A88235B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80210"/>
    <w:multiLevelType w:val="hybridMultilevel"/>
    <w:tmpl w:val="A91405B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C7EBA"/>
    <w:multiLevelType w:val="hybridMultilevel"/>
    <w:tmpl w:val="191C926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26371"/>
    <w:multiLevelType w:val="hybridMultilevel"/>
    <w:tmpl w:val="1B3ABF5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E5"/>
    <w:rsid w:val="00023546"/>
    <w:rsid w:val="000C44D4"/>
    <w:rsid w:val="000E38CE"/>
    <w:rsid w:val="001A7974"/>
    <w:rsid w:val="001F0459"/>
    <w:rsid w:val="002653D0"/>
    <w:rsid w:val="002F223C"/>
    <w:rsid w:val="003A1BBB"/>
    <w:rsid w:val="005719AA"/>
    <w:rsid w:val="00587488"/>
    <w:rsid w:val="005C56DF"/>
    <w:rsid w:val="005C7090"/>
    <w:rsid w:val="005F5ACC"/>
    <w:rsid w:val="005F741A"/>
    <w:rsid w:val="0064228B"/>
    <w:rsid w:val="006841E2"/>
    <w:rsid w:val="00686DF8"/>
    <w:rsid w:val="007153CF"/>
    <w:rsid w:val="007C4321"/>
    <w:rsid w:val="007F5C89"/>
    <w:rsid w:val="0081546C"/>
    <w:rsid w:val="00820EF3"/>
    <w:rsid w:val="00821D80"/>
    <w:rsid w:val="008A4759"/>
    <w:rsid w:val="008C6532"/>
    <w:rsid w:val="009C1B98"/>
    <w:rsid w:val="00A16F94"/>
    <w:rsid w:val="00A53828"/>
    <w:rsid w:val="00AF3AE5"/>
    <w:rsid w:val="00B268E1"/>
    <w:rsid w:val="00BC4C64"/>
    <w:rsid w:val="00C63939"/>
    <w:rsid w:val="00CA3BDF"/>
    <w:rsid w:val="00CD1F16"/>
    <w:rsid w:val="00D61684"/>
    <w:rsid w:val="00D86F97"/>
    <w:rsid w:val="00D87A72"/>
    <w:rsid w:val="00DB0014"/>
    <w:rsid w:val="00E00237"/>
    <w:rsid w:val="00E615B0"/>
    <w:rsid w:val="00EA29DA"/>
    <w:rsid w:val="00F235B5"/>
    <w:rsid w:val="00F65FF9"/>
    <w:rsid w:val="00F95555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BDE4E"/>
  <w15:chartTrackingRefBased/>
  <w15:docId w15:val="{703FA224-8F4A-478B-B7FF-F8A9B08C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AE5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AF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Ramoutarsingh</dc:creator>
  <cp:keywords/>
  <dc:description/>
  <cp:lastModifiedBy>c m</cp:lastModifiedBy>
  <cp:revision>3</cp:revision>
  <dcterms:created xsi:type="dcterms:W3CDTF">2017-09-10T22:54:00Z</dcterms:created>
  <dcterms:modified xsi:type="dcterms:W3CDTF">2017-09-11T00:39:00Z</dcterms:modified>
</cp:coreProperties>
</file>