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Exploratory Laparotomy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Aim:</w:t>
        <w:tab/>
        <w:t xml:space="preserve">To explore the abdominal contents of the animal.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an incision in the paralumbar fossa, ensuring the incision is large enough for the surgeon’s arm.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6 layers to incise through: the skin, the subcutaneous fat, the external and internal oblique muscles, the transversus and the peritoneum.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abdominal organs must be identified and examined for abnormalities in the following order: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duodenum, should be in the dorsal third of the incision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right kidney, should be cranial to incision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liver, should be cranial to the 13th rib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gallbladder, which should be ventral to the caudal border of the liver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diaphragm, which should be in the cranial abdomen, near the ventral extent of the caudal liver border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reticulum, which should be below the caudal border of the liver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falciform ligament, which is in the ventral peritoneum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left kidney, which is in the ventral compartment of the abdomen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omasum, which is behind the omental curtain on the ventral aspect of the right rumen wall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left gastric artery, which should be on the dorso-cranial surface of the omasum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intestines, palpated for gas, loops, foreign bodies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left compartment of the abdomen, palpated for signs of peritonitis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spleen, along the cranial ribcage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rectum, in the centre of the pelvic canal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surgery is to be continued, do not suture.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surgery is complete, the peritoneum and transversus abdominus muscles are sutured in a simple continuous pattern.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internal and external abdominal oblique muscles should be sutured in a simple continuous pattern.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skin should be sutured with a ford interlocking suture.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