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858"/>
        <w:gridCol w:w="7148"/>
      </w:tblGrid>
      <w:tr w:rsidR="003A573E" w:rsidRPr="003A573E" w14:paraId="52CCA2A1" w14:textId="77777777" w:rsidTr="003A573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CE2FC" w14:textId="77777777" w:rsidR="003A573E" w:rsidRPr="003A573E" w:rsidRDefault="003A573E" w:rsidP="003A573E">
            <w:pPr>
              <w:spacing w:after="0" w:line="240" w:lineRule="auto"/>
              <w:jc w:val="center"/>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Splint Bone Removal</w:t>
            </w:r>
          </w:p>
        </w:tc>
      </w:tr>
      <w:tr w:rsidR="003A573E" w:rsidRPr="003A573E" w14:paraId="1C78605F"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7E677"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Relevant Anatomy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10CE3"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The second and fourth metacarpal bones, or splint bones are attached to the abaxial surface of the medial and lateral proximal sesamoids by fibrous bands.</w:t>
            </w:r>
          </w:p>
        </w:tc>
      </w:tr>
      <w:tr w:rsidR="003A573E" w:rsidRPr="003A573E" w14:paraId="0212E006"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5D262"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Site Preparation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4EA71"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The surgical site is shaved and aseptically prepped for surgery. </w:t>
            </w:r>
          </w:p>
        </w:tc>
      </w:tr>
      <w:tr w:rsidR="003A573E" w:rsidRPr="003A573E" w14:paraId="6A3DF0B4"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8FA08"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Instruments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CD310"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General surgery pack</w:t>
            </w:r>
          </w:p>
          <w:p w14:paraId="1B09C23D"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Curved osteotome</w:t>
            </w:r>
          </w:p>
          <w:p w14:paraId="606D6531"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Chisel</w:t>
            </w:r>
          </w:p>
          <w:p w14:paraId="5FCFEA22"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Mallet</w:t>
            </w:r>
          </w:p>
          <w:p w14:paraId="4655F251"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Periosteal elevator</w:t>
            </w:r>
          </w:p>
        </w:tc>
      </w:tr>
      <w:tr w:rsidR="003A573E" w:rsidRPr="003A573E" w14:paraId="32AB597A"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81D14"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Indications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0737E" w14:textId="1DF8410C"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Fractures of the s</w:t>
            </w:r>
            <w:r w:rsidR="004177D4">
              <w:rPr>
                <w:rFonts w:ascii="Times New Roman" w:eastAsia="Times New Roman" w:hAnsi="Times New Roman" w:cs="Times New Roman"/>
                <w:color w:val="000000"/>
                <w:sz w:val="24"/>
                <w:szCs w:val="24"/>
                <w:lang w:eastAsia="en-TT"/>
              </w:rPr>
              <w:t>p</w:t>
            </w:r>
            <w:r w:rsidRPr="003A573E">
              <w:rPr>
                <w:rFonts w:ascii="Times New Roman" w:eastAsia="Times New Roman" w:hAnsi="Times New Roman" w:cs="Times New Roman"/>
                <w:color w:val="000000"/>
                <w:sz w:val="24"/>
                <w:szCs w:val="24"/>
                <w:lang w:eastAsia="en-TT"/>
              </w:rPr>
              <w:t>lint bones</w:t>
            </w:r>
          </w:p>
        </w:tc>
      </w:tr>
      <w:tr w:rsidR="003A573E" w:rsidRPr="003A573E" w14:paraId="7CC344C7"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479B4"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Anaesthesia and Preparation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DED2B" w14:textId="21891EDE"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General an</w:t>
            </w:r>
            <w:r>
              <w:rPr>
                <w:rFonts w:ascii="Times New Roman" w:eastAsia="Times New Roman" w:hAnsi="Times New Roman" w:cs="Times New Roman"/>
                <w:color w:val="000000"/>
                <w:sz w:val="24"/>
                <w:szCs w:val="24"/>
                <w:lang w:eastAsia="en-TT"/>
              </w:rPr>
              <w:t>a</w:t>
            </w:r>
            <w:r w:rsidRPr="003A573E">
              <w:rPr>
                <w:rFonts w:ascii="Times New Roman" w:eastAsia="Times New Roman" w:hAnsi="Times New Roman" w:cs="Times New Roman"/>
                <w:color w:val="000000"/>
                <w:sz w:val="24"/>
                <w:szCs w:val="24"/>
                <w:lang w:eastAsia="en-TT"/>
              </w:rPr>
              <w:t>esthesia is recommended for this operation.</w:t>
            </w:r>
          </w:p>
          <w:p w14:paraId="42507159"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The horse is placed in either lateral recumbency with the</w:t>
            </w:r>
          </w:p>
          <w:p w14:paraId="23193E4C"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affected splint bone uppermost or dorsal recumbency</w:t>
            </w:r>
          </w:p>
          <w:p w14:paraId="1A77B0B8"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with the injured leg suspended.</w:t>
            </w:r>
          </w:p>
        </w:tc>
      </w:tr>
      <w:tr w:rsidR="003A573E" w:rsidRPr="003A573E" w14:paraId="5A0A4852"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28080"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Surgical Technique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923B"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A variable-length incision is made directly over the splint bone, extending from approximately 1 cm distal to the distal extremity of the splint bone to approximately 2 cm proximal to the proposed site of amputation.</w:t>
            </w:r>
          </w:p>
          <w:p w14:paraId="628EB234"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The subcutaneous fascia is incised along the same line as the incision, through the periosteum.</w:t>
            </w:r>
          </w:p>
          <w:p w14:paraId="17576DC1"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The distal end of the splint bone is undermined with the aid of sharp dissection and is freed from surrounding</w:t>
            </w:r>
          </w:p>
          <w:p w14:paraId="101A3811"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 xml:space="preserve">Fascia and the end </w:t>
            </w:r>
            <w:proofErr w:type="gramStart"/>
            <w:r w:rsidRPr="003A573E">
              <w:rPr>
                <w:rFonts w:ascii="Times New Roman" w:eastAsia="Times New Roman" w:hAnsi="Times New Roman" w:cs="Times New Roman"/>
                <w:color w:val="000000"/>
                <w:sz w:val="24"/>
                <w:szCs w:val="24"/>
                <w:lang w:eastAsia="en-TT"/>
              </w:rPr>
              <w:t>is</w:t>
            </w:r>
            <w:proofErr w:type="gramEnd"/>
            <w:r w:rsidRPr="003A573E">
              <w:rPr>
                <w:rFonts w:ascii="Times New Roman" w:eastAsia="Times New Roman" w:hAnsi="Times New Roman" w:cs="Times New Roman"/>
                <w:color w:val="000000"/>
                <w:sz w:val="24"/>
                <w:szCs w:val="24"/>
                <w:lang w:eastAsia="en-TT"/>
              </w:rPr>
              <w:t xml:space="preserve"> grasped firmly with forceps, such as Ochsner forceps.</w:t>
            </w:r>
          </w:p>
          <w:p w14:paraId="58E5AB6E"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With further sharp dis-section, the splint bone is separated from its attachments to the third metacarpal or metatarsal bone either a chisel or a curved osteotome. </w:t>
            </w:r>
          </w:p>
          <w:p w14:paraId="7DEE9132"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The splint bone should be amputated above the fracture site or the area of infection with the aid of a chisel or osteotome and removed (a large curette is sometimes necessary to remove diseased bone adequately).</w:t>
            </w:r>
          </w:p>
          <w:p w14:paraId="44451D21"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Following removal of the splint bone, the subcutaneous tissue should be closed with a synthetic absorbable suture. The skin should be closed with a monofilament nonabsorbable suture using a simple interrupted pattern. </w:t>
            </w:r>
          </w:p>
          <w:p w14:paraId="2A7B5F78" w14:textId="77777777" w:rsidR="003A573E" w:rsidRPr="003A573E" w:rsidRDefault="003A573E" w:rsidP="003A573E">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The incision is covered with an antimicrobial dressing and is placed under a pressure bandage.</w:t>
            </w:r>
          </w:p>
        </w:tc>
      </w:tr>
      <w:tr w:rsidR="003A573E" w:rsidRPr="003A573E" w14:paraId="65ED79E0"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67CD"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Post-operative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C0089" w14:textId="77777777" w:rsidR="003A573E" w:rsidRPr="003A573E" w:rsidRDefault="003A573E" w:rsidP="003A573E">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Tetanus prophylaxis is administered.</w:t>
            </w:r>
          </w:p>
          <w:p w14:paraId="7FDD522B" w14:textId="77777777" w:rsidR="003A573E" w:rsidRPr="003A573E" w:rsidRDefault="003A573E" w:rsidP="003A573E">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Antibiotics are used in cases of acute (active) osteitis or osteomyelitis.</w:t>
            </w:r>
          </w:p>
          <w:p w14:paraId="68A649FC" w14:textId="77777777" w:rsidR="003A573E" w:rsidRPr="003A573E" w:rsidRDefault="003A573E" w:rsidP="003A573E">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lastRenderedPageBreak/>
              <w:t>The limb should be kept under a pressure bandage for 3 to 4 weeks, due to haemorrhage, change the bandage in the first 1 to 2 days postoperatively. </w:t>
            </w:r>
          </w:p>
          <w:p w14:paraId="4E7126E2" w14:textId="77777777" w:rsidR="003A573E" w:rsidRPr="003A573E" w:rsidRDefault="003A573E" w:rsidP="003A573E">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Skin sutures should be removed 10 to 14 days after surgery.</w:t>
            </w:r>
          </w:p>
        </w:tc>
      </w:tr>
      <w:tr w:rsidR="003A573E" w:rsidRPr="003A573E" w14:paraId="0B9B2D0D"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9750B"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lastRenderedPageBreak/>
              <w:t>Considerations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0BB4" w14:textId="77777777" w:rsidR="003A573E" w:rsidRPr="003A573E" w:rsidRDefault="003A573E" w:rsidP="003A573E">
            <w:pPr>
              <w:numPr>
                <w:ilvl w:val="0"/>
                <w:numId w:val="3"/>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When amputating a lateral splint bone in the pelvic limb, be careful to avoid incising the large, dorsal metatarsal artery III (great metatarsal artery), which lies above and between the third and fourth metatarsal bones in the interosseous space. If the artery is inadvertently severed, it can be ligated without causing problems associated with loss of blood supply to the distal limb.</w:t>
            </w:r>
          </w:p>
          <w:p w14:paraId="0319B0AA" w14:textId="77777777" w:rsidR="003A573E" w:rsidRPr="003A573E" w:rsidRDefault="003A573E" w:rsidP="003A573E">
            <w:pPr>
              <w:numPr>
                <w:ilvl w:val="0"/>
                <w:numId w:val="3"/>
              </w:numPr>
              <w:spacing w:after="0" w:line="240" w:lineRule="auto"/>
              <w:textAlignment w:val="baseline"/>
              <w:rPr>
                <w:rFonts w:ascii="Times New Roman" w:eastAsia="Times New Roman" w:hAnsi="Times New Roman" w:cs="Times New Roman"/>
                <w:color w:val="000000"/>
                <w:sz w:val="24"/>
                <w:szCs w:val="24"/>
                <w:lang w:eastAsia="en-TT"/>
              </w:rPr>
            </w:pPr>
            <w:r w:rsidRPr="003A573E">
              <w:rPr>
                <w:rFonts w:ascii="Times New Roman" w:eastAsia="Times New Roman" w:hAnsi="Times New Roman" w:cs="Times New Roman"/>
                <w:color w:val="000000"/>
                <w:sz w:val="24"/>
                <w:szCs w:val="24"/>
                <w:lang w:eastAsia="en-TT"/>
              </w:rPr>
              <w:t>Some patients with a severe infectious process or significant dead space may require a Penrose drain for a few days, however, a good pressure bandage is often adequate to reduce dead space.</w:t>
            </w:r>
          </w:p>
        </w:tc>
      </w:tr>
      <w:tr w:rsidR="003A573E" w:rsidRPr="003A573E" w14:paraId="71FEEB6D" w14:textId="77777777" w:rsidTr="003A5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BF42E"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Complications and Prognosis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35E39"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 xml:space="preserve">In Standardbred horses, suspensory </w:t>
            </w:r>
            <w:proofErr w:type="spellStart"/>
            <w:r w:rsidRPr="003A573E">
              <w:rPr>
                <w:rFonts w:ascii="Times New Roman" w:eastAsia="Times New Roman" w:hAnsi="Times New Roman" w:cs="Times New Roman"/>
                <w:color w:val="000000"/>
                <w:sz w:val="24"/>
                <w:szCs w:val="24"/>
                <w:lang w:eastAsia="en-TT"/>
              </w:rPr>
              <w:t>desmitis</w:t>
            </w:r>
            <w:proofErr w:type="spellEnd"/>
            <w:r w:rsidRPr="003A573E">
              <w:rPr>
                <w:rFonts w:ascii="Times New Roman" w:eastAsia="Times New Roman" w:hAnsi="Times New Roman" w:cs="Times New Roman"/>
                <w:color w:val="000000"/>
                <w:sz w:val="24"/>
                <w:szCs w:val="24"/>
                <w:lang w:eastAsia="en-TT"/>
              </w:rPr>
              <w:t xml:space="preserve"> rather than the fractured splint bone may limit the prognosis for</w:t>
            </w:r>
          </w:p>
          <w:p w14:paraId="16F28C59" w14:textId="77777777" w:rsidR="003A573E" w:rsidRPr="003A573E" w:rsidRDefault="003A573E" w:rsidP="003A573E">
            <w:pPr>
              <w:spacing w:after="0" w:line="240" w:lineRule="auto"/>
              <w:rPr>
                <w:rFonts w:ascii="Times New Roman" w:eastAsia="Times New Roman" w:hAnsi="Times New Roman" w:cs="Times New Roman"/>
                <w:sz w:val="24"/>
                <w:szCs w:val="24"/>
                <w:lang w:eastAsia="en-TT"/>
              </w:rPr>
            </w:pPr>
            <w:r w:rsidRPr="003A573E">
              <w:rPr>
                <w:rFonts w:ascii="Times New Roman" w:eastAsia="Times New Roman" w:hAnsi="Times New Roman" w:cs="Times New Roman"/>
                <w:color w:val="000000"/>
                <w:sz w:val="24"/>
                <w:szCs w:val="24"/>
                <w:lang w:eastAsia="en-TT"/>
              </w:rPr>
              <w:t>return to athletic soundness.</w:t>
            </w:r>
          </w:p>
        </w:tc>
      </w:tr>
    </w:tbl>
    <w:p w14:paraId="1D432B0F" w14:textId="77777777" w:rsidR="00A95FA9" w:rsidRDefault="00A95FA9"/>
    <w:sectPr w:rsidR="00A95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240"/>
    <w:multiLevelType w:val="multilevel"/>
    <w:tmpl w:val="0F84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F7226"/>
    <w:multiLevelType w:val="multilevel"/>
    <w:tmpl w:val="E3F8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C7E72"/>
    <w:multiLevelType w:val="multilevel"/>
    <w:tmpl w:val="5986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3E"/>
    <w:rsid w:val="003A573E"/>
    <w:rsid w:val="004177D4"/>
    <w:rsid w:val="004612A1"/>
    <w:rsid w:val="00A95FA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4C0"/>
  <w15:chartTrackingRefBased/>
  <w15:docId w15:val="{CB31D91E-77A1-40E2-A1BD-AF57965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73E"/>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adrianna.dhaniram</dc:creator>
  <cp:keywords/>
  <dc:description/>
  <cp:lastModifiedBy>adrianna.dhaniram</cp:lastModifiedBy>
  <cp:revision>2</cp:revision>
  <dcterms:created xsi:type="dcterms:W3CDTF">2021-11-15T12:38:00Z</dcterms:created>
  <dcterms:modified xsi:type="dcterms:W3CDTF">2021-11-15T12:40:00Z</dcterms:modified>
</cp:coreProperties>
</file>