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8D" w:rsidRDefault="00A06A09" w:rsidP="00A06A09">
      <w:pPr>
        <w:jc w:val="center"/>
        <w:rPr>
          <w:rFonts w:ascii="Verdana" w:hAnsi="Verdana"/>
          <w:b/>
          <w:sz w:val="24"/>
          <w:szCs w:val="24"/>
          <w:lang w:val="en-US"/>
        </w:rPr>
      </w:pPr>
      <w:r>
        <w:rPr>
          <w:rFonts w:ascii="Verdana" w:hAnsi="Verdana"/>
          <w:b/>
          <w:sz w:val="24"/>
          <w:szCs w:val="24"/>
          <w:lang w:val="en-US"/>
        </w:rPr>
        <w:t>SUBCONJUNCTIVAL INJECTION</w:t>
      </w:r>
    </w:p>
    <w:p w:rsidR="006F0086" w:rsidRDefault="00A06A09" w:rsidP="00A06A09">
      <w:pPr>
        <w:rPr>
          <w:rFonts w:ascii="Verdana" w:hAnsi="Verdana"/>
          <w:sz w:val="24"/>
          <w:szCs w:val="24"/>
          <w:lang w:val="en-US"/>
        </w:rPr>
      </w:pPr>
      <w:r>
        <w:rPr>
          <w:rFonts w:ascii="Verdana" w:hAnsi="Verdana"/>
          <w:sz w:val="24"/>
          <w:szCs w:val="24"/>
          <w:lang w:val="en-US"/>
        </w:rPr>
        <w:t>Indication:</w:t>
      </w:r>
      <w:r w:rsidR="000F3D6C">
        <w:rPr>
          <w:rFonts w:ascii="Verdana" w:hAnsi="Verdana"/>
          <w:sz w:val="24"/>
          <w:szCs w:val="24"/>
          <w:lang w:val="en-US"/>
        </w:rPr>
        <w:t xml:space="preserve"> </w:t>
      </w:r>
      <w:r w:rsidR="006F0086">
        <w:rPr>
          <w:rFonts w:ascii="Verdana" w:hAnsi="Verdana"/>
          <w:sz w:val="24"/>
          <w:szCs w:val="24"/>
          <w:lang w:val="en-US"/>
        </w:rPr>
        <w:t xml:space="preserve">A mean of achieving high therapeutic levels of drugs in the cornea, sclera and anterior segment of the orbit. Placing the injection </w:t>
      </w:r>
      <w:proofErr w:type="spellStart"/>
      <w:r w:rsidR="006F0086">
        <w:rPr>
          <w:rFonts w:ascii="Verdana" w:hAnsi="Verdana"/>
          <w:sz w:val="24"/>
          <w:szCs w:val="24"/>
          <w:lang w:val="en-US"/>
        </w:rPr>
        <w:t>subconjunctivally</w:t>
      </w:r>
      <w:proofErr w:type="spellEnd"/>
      <w:r w:rsidR="006F0086">
        <w:rPr>
          <w:rFonts w:ascii="Verdana" w:hAnsi="Verdana"/>
          <w:sz w:val="24"/>
          <w:szCs w:val="24"/>
          <w:lang w:val="en-US"/>
        </w:rPr>
        <w:t xml:space="preserve"> bypasses the lipid layers of the bulbar conjunctiva and places the drugs adjacent to the water-permeable sclera, increasing water-soluble drug penetration into the eye.</w:t>
      </w:r>
    </w:p>
    <w:p w:rsidR="006F0086" w:rsidRDefault="00A06A09" w:rsidP="00A06A09">
      <w:pPr>
        <w:rPr>
          <w:rFonts w:ascii="Verdana" w:hAnsi="Verdana"/>
          <w:sz w:val="24"/>
          <w:szCs w:val="24"/>
          <w:lang w:val="en-US"/>
        </w:rPr>
      </w:pPr>
      <w:r>
        <w:rPr>
          <w:rFonts w:ascii="Verdana" w:hAnsi="Verdana"/>
          <w:sz w:val="24"/>
          <w:szCs w:val="24"/>
          <w:lang w:val="en-US"/>
        </w:rPr>
        <w:t>Use:</w:t>
      </w:r>
      <w:r w:rsidR="000F3D6C">
        <w:rPr>
          <w:rFonts w:ascii="Verdana" w:hAnsi="Verdana"/>
          <w:sz w:val="24"/>
          <w:szCs w:val="24"/>
          <w:lang w:val="en-US"/>
        </w:rPr>
        <w:t xml:space="preserve"> </w:t>
      </w:r>
    </w:p>
    <w:p w:rsidR="00A06A09" w:rsidRDefault="006F0086" w:rsidP="006F0086">
      <w:pPr>
        <w:pStyle w:val="ListParagraph"/>
        <w:numPr>
          <w:ilvl w:val="0"/>
          <w:numId w:val="1"/>
        </w:numPr>
        <w:rPr>
          <w:rFonts w:ascii="Verdana" w:hAnsi="Verdana"/>
          <w:sz w:val="24"/>
          <w:szCs w:val="24"/>
          <w:lang w:val="en-US"/>
        </w:rPr>
      </w:pPr>
      <w:r w:rsidRPr="006F0086">
        <w:rPr>
          <w:rFonts w:ascii="Verdana" w:hAnsi="Verdana"/>
          <w:sz w:val="24"/>
          <w:szCs w:val="24"/>
          <w:lang w:val="en-US"/>
        </w:rPr>
        <w:t xml:space="preserve">Commonly used to administer drugs to treat Infectious Bovine </w:t>
      </w:r>
      <w:proofErr w:type="spellStart"/>
      <w:r w:rsidRPr="006F0086">
        <w:rPr>
          <w:rFonts w:ascii="Verdana" w:hAnsi="Verdana"/>
          <w:sz w:val="24"/>
          <w:szCs w:val="24"/>
          <w:lang w:val="en-US"/>
        </w:rPr>
        <w:t>Keratoconjunctivitis</w:t>
      </w:r>
      <w:proofErr w:type="spellEnd"/>
      <w:r w:rsidRPr="006F0086">
        <w:rPr>
          <w:rFonts w:ascii="Verdana" w:hAnsi="Verdana"/>
          <w:sz w:val="24"/>
          <w:szCs w:val="24"/>
          <w:lang w:val="en-US"/>
        </w:rPr>
        <w:t xml:space="preserve"> (pink eye) in cattle.</w:t>
      </w:r>
    </w:p>
    <w:p w:rsidR="006F0086" w:rsidRDefault="006F0086" w:rsidP="006F0086">
      <w:pPr>
        <w:pStyle w:val="ListParagraph"/>
        <w:numPr>
          <w:ilvl w:val="0"/>
          <w:numId w:val="1"/>
        </w:numPr>
        <w:rPr>
          <w:rFonts w:ascii="Verdana" w:hAnsi="Verdana"/>
          <w:sz w:val="24"/>
          <w:szCs w:val="24"/>
          <w:lang w:val="en-US"/>
        </w:rPr>
      </w:pPr>
      <w:r>
        <w:rPr>
          <w:rFonts w:ascii="Verdana" w:hAnsi="Verdana"/>
          <w:sz w:val="24"/>
          <w:szCs w:val="24"/>
          <w:lang w:val="en-US"/>
        </w:rPr>
        <w:t>When topical medications cannot be administered</w:t>
      </w:r>
    </w:p>
    <w:p w:rsidR="006F0086" w:rsidRPr="006F0086" w:rsidRDefault="006F0086" w:rsidP="006F0086">
      <w:pPr>
        <w:pStyle w:val="ListParagraph"/>
        <w:numPr>
          <w:ilvl w:val="0"/>
          <w:numId w:val="1"/>
        </w:numPr>
        <w:rPr>
          <w:rFonts w:ascii="Verdana" w:hAnsi="Verdana"/>
          <w:sz w:val="24"/>
          <w:szCs w:val="24"/>
          <w:lang w:val="en-US"/>
        </w:rPr>
      </w:pPr>
      <w:r>
        <w:rPr>
          <w:rFonts w:ascii="Verdana" w:hAnsi="Verdana"/>
          <w:sz w:val="24"/>
          <w:szCs w:val="24"/>
          <w:lang w:val="en-US"/>
        </w:rPr>
        <w:t>To achieve high corneal and intra-ocular levels of drugs for short periods</w:t>
      </w:r>
    </w:p>
    <w:p w:rsidR="006F0086" w:rsidRDefault="006F0086" w:rsidP="00A06A09">
      <w:pPr>
        <w:rPr>
          <w:rFonts w:ascii="Verdana" w:hAnsi="Verdana"/>
          <w:sz w:val="24"/>
          <w:szCs w:val="24"/>
          <w:lang w:val="en-US"/>
        </w:rPr>
      </w:pPr>
    </w:p>
    <w:p w:rsidR="00A06A09" w:rsidRDefault="00A06A09" w:rsidP="00A06A09">
      <w:pPr>
        <w:rPr>
          <w:rFonts w:ascii="Verdana" w:hAnsi="Verdana"/>
          <w:sz w:val="24"/>
          <w:szCs w:val="24"/>
          <w:lang w:val="en-US"/>
        </w:rPr>
      </w:pPr>
      <w:r>
        <w:rPr>
          <w:rFonts w:ascii="Verdana" w:hAnsi="Verdana"/>
          <w:sz w:val="24"/>
          <w:szCs w:val="24"/>
          <w:lang w:val="en-US"/>
        </w:rPr>
        <w:t>Location:</w:t>
      </w:r>
      <w:r w:rsidR="00326A3D">
        <w:rPr>
          <w:rFonts w:ascii="Verdana" w:hAnsi="Verdana"/>
          <w:sz w:val="24"/>
          <w:szCs w:val="24"/>
          <w:lang w:val="en-US"/>
        </w:rPr>
        <w:t xml:space="preserve"> Bulbar conjunctiva, the space between the conjunctiva and sclera.</w:t>
      </w:r>
    </w:p>
    <w:p w:rsidR="000E1183" w:rsidRDefault="000E1183" w:rsidP="00A06A09">
      <w:pPr>
        <w:rPr>
          <w:rFonts w:ascii="Verdana" w:hAnsi="Verdana"/>
          <w:sz w:val="24"/>
          <w:szCs w:val="24"/>
          <w:lang w:val="en-US"/>
        </w:rPr>
      </w:pPr>
      <w:r>
        <w:rPr>
          <w:rFonts w:ascii="Verdana" w:hAnsi="Verdana"/>
          <w:noProof/>
          <w:sz w:val="24"/>
          <w:szCs w:val="24"/>
          <w:lang w:eastAsia="en-TT"/>
        </w:rPr>
        <w:drawing>
          <wp:inline distT="0" distB="0" distL="0" distR="0">
            <wp:extent cx="27813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bconjunctival inj site.jpeg"/>
                    <pic:cNvPicPr/>
                  </pic:nvPicPr>
                  <pic:blipFill>
                    <a:blip r:embed="rId5">
                      <a:extLst>
                        <a:ext uri="{28A0092B-C50C-407E-A947-70E740481C1C}">
                          <a14:useLocalDpi xmlns:a14="http://schemas.microsoft.com/office/drawing/2010/main" val="0"/>
                        </a:ext>
                      </a:extLst>
                    </a:blip>
                    <a:stretch>
                      <a:fillRect/>
                    </a:stretch>
                  </pic:blipFill>
                  <pic:spPr>
                    <a:xfrm>
                      <a:off x="0" y="0"/>
                      <a:ext cx="2781300" cy="1638300"/>
                    </a:xfrm>
                    <a:prstGeom prst="rect">
                      <a:avLst/>
                    </a:prstGeom>
                  </pic:spPr>
                </pic:pic>
              </a:graphicData>
            </a:graphic>
          </wp:inline>
        </w:drawing>
      </w:r>
      <w:r>
        <w:rPr>
          <w:rFonts w:ascii="Verdana" w:hAnsi="Verdana"/>
          <w:sz w:val="24"/>
          <w:szCs w:val="24"/>
          <w:lang w:val="en-US"/>
        </w:rPr>
        <w:t xml:space="preserve"> Injection site images</w:t>
      </w:r>
      <w:bookmarkStart w:id="0" w:name="_GoBack"/>
      <w:bookmarkEnd w:id="0"/>
    </w:p>
    <w:p w:rsidR="000E1183" w:rsidRDefault="000E1183" w:rsidP="00A06A09">
      <w:pPr>
        <w:rPr>
          <w:rFonts w:ascii="Verdana" w:hAnsi="Verdana"/>
          <w:sz w:val="24"/>
          <w:szCs w:val="24"/>
          <w:lang w:val="en-US"/>
        </w:rPr>
      </w:pPr>
      <w:r>
        <w:rPr>
          <w:rFonts w:ascii="Verdana" w:hAnsi="Verdana"/>
          <w:noProof/>
          <w:sz w:val="24"/>
          <w:szCs w:val="24"/>
          <w:lang w:eastAsia="en-TT"/>
        </w:rPr>
        <w:drawing>
          <wp:inline distT="0" distB="0" distL="0" distR="0">
            <wp:extent cx="2978288" cy="19875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8288" cy="1987561"/>
                    </a:xfrm>
                    <a:prstGeom prst="rect">
                      <a:avLst/>
                    </a:prstGeom>
                  </pic:spPr>
                </pic:pic>
              </a:graphicData>
            </a:graphic>
          </wp:inline>
        </w:drawing>
      </w:r>
    </w:p>
    <w:p w:rsidR="00A06A09" w:rsidRDefault="00A06A09" w:rsidP="00A06A09">
      <w:pPr>
        <w:rPr>
          <w:rFonts w:ascii="Verdana" w:hAnsi="Verdana"/>
          <w:sz w:val="24"/>
          <w:szCs w:val="24"/>
          <w:lang w:val="en-US"/>
        </w:rPr>
      </w:pPr>
      <w:r>
        <w:rPr>
          <w:rFonts w:ascii="Verdana" w:hAnsi="Verdana"/>
          <w:sz w:val="24"/>
          <w:szCs w:val="24"/>
          <w:lang w:val="en-US"/>
        </w:rPr>
        <w:t>Procedure:</w:t>
      </w:r>
    </w:p>
    <w:p w:rsidR="008B4884" w:rsidRDefault="008B4884" w:rsidP="008B4884">
      <w:pPr>
        <w:pStyle w:val="ListParagraph"/>
        <w:numPr>
          <w:ilvl w:val="0"/>
          <w:numId w:val="1"/>
        </w:numPr>
        <w:rPr>
          <w:rFonts w:ascii="Verdana" w:hAnsi="Verdana"/>
          <w:sz w:val="24"/>
          <w:szCs w:val="24"/>
          <w:lang w:val="en-US"/>
        </w:rPr>
      </w:pPr>
      <w:r>
        <w:rPr>
          <w:rFonts w:ascii="Verdana" w:hAnsi="Verdana"/>
          <w:sz w:val="24"/>
          <w:szCs w:val="24"/>
          <w:lang w:val="en-US"/>
        </w:rPr>
        <w:t>Proper restraint of the animal is necessary, it is important to ensure the animal is unable to move its head.</w:t>
      </w:r>
    </w:p>
    <w:p w:rsidR="008B4884" w:rsidRDefault="008B4884" w:rsidP="008B4884">
      <w:pPr>
        <w:pStyle w:val="ListParagraph"/>
        <w:numPr>
          <w:ilvl w:val="0"/>
          <w:numId w:val="1"/>
        </w:numPr>
        <w:rPr>
          <w:rFonts w:ascii="Verdana" w:hAnsi="Verdana"/>
          <w:sz w:val="24"/>
          <w:szCs w:val="24"/>
          <w:lang w:val="en-US"/>
        </w:rPr>
      </w:pPr>
      <w:r>
        <w:rPr>
          <w:rFonts w:ascii="Verdana" w:hAnsi="Verdana"/>
          <w:sz w:val="24"/>
          <w:szCs w:val="24"/>
          <w:lang w:val="en-US"/>
        </w:rPr>
        <w:t xml:space="preserve">Topical </w:t>
      </w:r>
      <w:proofErr w:type="spellStart"/>
      <w:r>
        <w:rPr>
          <w:rFonts w:ascii="Verdana" w:hAnsi="Verdana"/>
          <w:sz w:val="24"/>
          <w:szCs w:val="24"/>
          <w:lang w:val="en-US"/>
        </w:rPr>
        <w:t>anaesthetic</w:t>
      </w:r>
      <w:proofErr w:type="spellEnd"/>
      <w:r>
        <w:rPr>
          <w:rFonts w:ascii="Verdana" w:hAnsi="Verdana"/>
          <w:sz w:val="24"/>
          <w:szCs w:val="24"/>
          <w:lang w:val="en-US"/>
        </w:rPr>
        <w:t xml:space="preserve"> to the cornea can be applied, an </w:t>
      </w:r>
      <w:proofErr w:type="spellStart"/>
      <w:r>
        <w:rPr>
          <w:rFonts w:ascii="Verdana" w:hAnsi="Verdana"/>
          <w:sz w:val="24"/>
          <w:szCs w:val="24"/>
          <w:lang w:val="en-US"/>
        </w:rPr>
        <w:t>auriculopalpebral</w:t>
      </w:r>
      <w:proofErr w:type="spellEnd"/>
      <w:r>
        <w:rPr>
          <w:rFonts w:ascii="Verdana" w:hAnsi="Verdana"/>
          <w:sz w:val="24"/>
          <w:szCs w:val="24"/>
          <w:lang w:val="en-US"/>
        </w:rPr>
        <w:t xml:space="preserve"> block would be helpful in minimizing blinking during the procedure to allow easier application.</w:t>
      </w:r>
    </w:p>
    <w:p w:rsidR="008B4884" w:rsidRDefault="008B4884" w:rsidP="008B4884">
      <w:pPr>
        <w:pStyle w:val="ListParagraph"/>
        <w:numPr>
          <w:ilvl w:val="0"/>
          <w:numId w:val="1"/>
        </w:numPr>
        <w:rPr>
          <w:rFonts w:ascii="Verdana" w:hAnsi="Verdana"/>
          <w:sz w:val="24"/>
          <w:szCs w:val="24"/>
          <w:lang w:val="en-US"/>
        </w:rPr>
      </w:pPr>
      <w:r>
        <w:rPr>
          <w:rFonts w:ascii="Verdana" w:hAnsi="Verdana"/>
          <w:sz w:val="24"/>
          <w:szCs w:val="24"/>
          <w:lang w:val="en-US"/>
        </w:rPr>
        <w:lastRenderedPageBreak/>
        <w:t xml:space="preserve">Retract the eyelids, </w:t>
      </w:r>
      <w:r w:rsidR="00326A3D">
        <w:rPr>
          <w:rFonts w:ascii="Verdana" w:hAnsi="Verdana"/>
          <w:sz w:val="24"/>
          <w:szCs w:val="24"/>
          <w:lang w:val="en-US"/>
        </w:rPr>
        <w:t xml:space="preserve">a Castroviejo eyelid speculum can be used to keep eyelid open </w:t>
      </w:r>
      <w:r>
        <w:rPr>
          <w:rFonts w:ascii="Verdana" w:hAnsi="Verdana"/>
          <w:sz w:val="24"/>
          <w:szCs w:val="24"/>
          <w:lang w:val="en-US"/>
        </w:rPr>
        <w:t>to expose the injection site. Must go in the bulbar conjunctiva, NOT the eyelid conjunctiva or palpebral conjunctiva.</w:t>
      </w:r>
    </w:p>
    <w:p w:rsidR="008B4884" w:rsidRDefault="008B4884" w:rsidP="008B4884">
      <w:pPr>
        <w:pStyle w:val="ListParagraph"/>
        <w:numPr>
          <w:ilvl w:val="0"/>
          <w:numId w:val="1"/>
        </w:numPr>
        <w:rPr>
          <w:rFonts w:ascii="Verdana" w:hAnsi="Verdana"/>
          <w:sz w:val="24"/>
          <w:szCs w:val="24"/>
          <w:lang w:val="en-US"/>
        </w:rPr>
      </w:pPr>
      <w:r>
        <w:rPr>
          <w:rFonts w:ascii="Verdana" w:hAnsi="Verdana"/>
          <w:sz w:val="24"/>
          <w:szCs w:val="24"/>
          <w:lang w:val="en-US"/>
        </w:rPr>
        <w:t>With the bevel up and finger on the plunger, lay the needle against the globe, away from the cornea (this is so if the patient moves, it won’t stab all the way through the eye), make a pocket of the conjunctiva (an opening for the needle).</w:t>
      </w:r>
    </w:p>
    <w:p w:rsidR="008B4884" w:rsidRDefault="008B4884" w:rsidP="008B4884">
      <w:pPr>
        <w:pStyle w:val="ListParagraph"/>
        <w:numPr>
          <w:ilvl w:val="0"/>
          <w:numId w:val="1"/>
        </w:numPr>
        <w:rPr>
          <w:rFonts w:ascii="Verdana" w:hAnsi="Verdana"/>
          <w:sz w:val="24"/>
          <w:szCs w:val="24"/>
          <w:lang w:val="en-US"/>
        </w:rPr>
      </w:pPr>
      <w:r>
        <w:rPr>
          <w:rFonts w:ascii="Verdana" w:hAnsi="Verdana"/>
          <w:sz w:val="24"/>
          <w:szCs w:val="24"/>
          <w:lang w:val="en-US"/>
        </w:rPr>
        <w:t>Insert the needle into the space between the conjunctiva and sclera and administer drug slowly creating a bulge or ballooning effect.</w:t>
      </w:r>
    </w:p>
    <w:p w:rsidR="008B4884" w:rsidRDefault="008B4884" w:rsidP="008B4884">
      <w:pPr>
        <w:pStyle w:val="ListParagraph"/>
        <w:numPr>
          <w:ilvl w:val="0"/>
          <w:numId w:val="1"/>
        </w:numPr>
        <w:rPr>
          <w:rFonts w:ascii="Verdana" w:hAnsi="Verdana"/>
          <w:sz w:val="24"/>
          <w:szCs w:val="24"/>
          <w:lang w:val="en-US"/>
        </w:rPr>
      </w:pPr>
      <w:r>
        <w:rPr>
          <w:rFonts w:ascii="Verdana" w:hAnsi="Verdana"/>
          <w:sz w:val="24"/>
          <w:szCs w:val="24"/>
          <w:lang w:val="en-US"/>
        </w:rPr>
        <w:t xml:space="preserve">Always ensuring the bevel remains under the conjunctiva during administration, if the </w:t>
      </w:r>
      <w:r w:rsidR="00326A3D">
        <w:rPr>
          <w:rFonts w:ascii="Verdana" w:hAnsi="Verdana"/>
          <w:sz w:val="24"/>
          <w:szCs w:val="24"/>
          <w:lang w:val="en-US"/>
        </w:rPr>
        <w:t>needle was removed during administration, the needle can be re-inserted into the bleb that was formed to reduce any further complications.</w:t>
      </w:r>
    </w:p>
    <w:p w:rsidR="00326A3D" w:rsidRPr="008B4884" w:rsidRDefault="00326A3D" w:rsidP="008B4884">
      <w:pPr>
        <w:pStyle w:val="ListParagraph"/>
        <w:numPr>
          <w:ilvl w:val="0"/>
          <w:numId w:val="1"/>
        </w:numPr>
        <w:rPr>
          <w:rFonts w:ascii="Verdana" w:hAnsi="Verdana"/>
          <w:sz w:val="24"/>
          <w:szCs w:val="24"/>
          <w:lang w:val="en-US"/>
        </w:rPr>
      </w:pPr>
      <w:r>
        <w:rPr>
          <w:rFonts w:ascii="Verdana" w:hAnsi="Verdana"/>
          <w:sz w:val="24"/>
          <w:szCs w:val="24"/>
          <w:lang w:val="en-US"/>
        </w:rPr>
        <w:t>When removing the needle, it should be done in a twisting motion to help reduce the opening caused by the needle and prevents leakage of the drug.</w:t>
      </w:r>
    </w:p>
    <w:p w:rsidR="00326A3D" w:rsidRDefault="00326A3D" w:rsidP="00A06A09">
      <w:pPr>
        <w:rPr>
          <w:rFonts w:ascii="Verdana" w:hAnsi="Verdana"/>
          <w:sz w:val="24"/>
          <w:szCs w:val="24"/>
          <w:lang w:val="en-US"/>
        </w:rPr>
      </w:pPr>
    </w:p>
    <w:p w:rsidR="00326A3D" w:rsidRDefault="000E1183" w:rsidP="00A06A09">
      <w:pPr>
        <w:rPr>
          <w:rFonts w:ascii="Verdana" w:hAnsi="Verdana"/>
          <w:sz w:val="24"/>
          <w:szCs w:val="24"/>
          <w:lang w:val="en-US"/>
        </w:rPr>
      </w:pPr>
      <w:r>
        <w:rPr>
          <w:rFonts w:ascii="Verdana" w:hAnsi="Verdana"/>
          <w:noProof/>
          <w:sz w:val="24"/>
          <w:szCs w:val="24"/>
          <w:lang w:eastAsia="en-TT"/>
        </w:rPr>
        <w:drawing>
          <wp:inline distT="0" distB="0" distL="0" distR="0">
            <wp:extent cx="3328895" cy="44386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0535" cy="4440837"/>
                    </a:xfrm>
                    <a:prstGeom prst="rect">
                      <a:avLst/>
                    </a:prstGeom>
                  </pic:spPr>
                </pic:pic>
              </a:graphicData>
            </a:graphic>
          </wp:inline>
        </w:drawing>
      </w:r>
      <w:proofErr w:type="spellStart"/>
      <w:r>
        <w:rPr>
          <w:rFonts w:ascii="Verdana" w:hAnsi="Verdana"/>
          <w:sz w:val="24"/>
          <w:szCs w:val="24"/>
          <w:lang w:val="en-US"/>
        </w:rPr>
        <w:t>Subconjunctival</w:t>
      </w:r>
      <w:proofErr w:type="spellEnd"/>
      <w:r>
        <w:rPr>
          <w:rFonts w:ascii="Verdana" w:hAnsi="Verdana"/>
          <w:sz w:val="24"/>
          <w:szCs w:val="24"/>
          <w:lang w:val="en-US"/>
        </w:rPr>
        <w:t xml:space="preserve"> injection being performed.</w:t>
      </w:r>
    </w:p>
    <w:p w:rsidR="00326A3D" w:rsidRDefault="00326A3D" w:rsidP="00A06A09">
      <w:pPr>
        <w:rPr>
          <w:rFonts w:ascii="Verdana" w:hAnsi="Verdana"/>
          <w:sz w:val="24"/>
          <w:szCs w:val="24"/>
          <w:lang w:val="en-US"/>
        </w:rPr>
      </w:pPr>
    </w:p>
    <w:p w:rsidR="006F0086" w:rsidRDefault="006F0086" w:rsidP="00A06A09">
      <w:pPr>
        <w:rPr>
          <w:rFonts w:ascii="Verdana" w:hAnsi="Verdana"/>
          <w:sz w:val="24"/>
          <w:szCs w:val="24"/>
          <w:lang w:val="en-US"/>
        </w:rPr>
      </w:pPr>
      <w:r>
        <w:rPr>
          <w:rFonts w:ascii="Verdana" w:hAnsi="Verdana"/>
          <w:sz w:val="24"/>
          <w:szCs w:val="24"/>
          <w:lang w:val="en-US"/>
        </w:rPr>
        <w:lastRenderedPageBreak/>
        <w:t>Advantages:</w:t>
      </w:r>
    </w:p>
    <w:p w:rsidR="006F0086" w:rsidRDefault="006F0086" w:rsidP="006F0086">
      <w:pPr>
        <w:pStyle w:val="ListParagraph"/>
        <w:numPr>
          <w:ilvl w:val="0"/>
          <w:numId w:val="1"/>
        </w:numPr>
        <w:rPr>
          <w:rFonts w:ascii="Verdana" w:hAnsi="Verdana"/>
          <w:sz w:val="24"/>
          <w:szCs w:val="24"/>
          <w:lang w:val="en-US"/>
        </w:rPr>
      </w:pPr>
      <w:r>
        <w:rPr>
          <w:rFonts w:ascii="Verdana" w:hAnsi="Verdana"/>
          <w:sz w:val="24"/>
          <w:szCs w:val="24"/>
          <w:lang w:val="en-US"/>
        </w:rPr>
        <w:t>Increase penetration of water-soluble drugs</w:t>
      </w:r>
    </w:p>
    <w:p w:rsidR="006F0086" w:rsidRDefault="008D3D1C" w:rsidP="006F0086">
      <w:pPr>
        <w:pStyle w:val="ListParagraph"/>
        <w:numPr>
          <w:ilvl w:val="0"/>
          <w:numId w:val="1"/>
        </w:numPr>
        <w:rPr>
          <w:rFonts w:ascii="Verdana" w:hAnsi="Verdana"/>
          <w:sz w:val="24"/>
          <w:szCs w:val="24"/>
          <w:lang w:val="en-US"/>
        </w:rPr>
      </w:pPr>
      <w:r>
        <w:rPr>
          <w:rFonts w:ascii="Verdana" w:hAnsi="Verdana"/>
          <w:sz w:val="24"/>
          <w:szCs w:val="24"/>
          <w:lang w:val="en-US"/>
        </w:rPr>
        <w:t>Allows for high therapeutic levels of short term drugs in the cornea and anterior segment</w:t>
      </w:r>
    </w:p>
    <w:p w:rsidR="008D3D1C" w:rsidRDefault="008D3D1C" w:rsidP="008D3D1C">
      <w:pPr>
        <w:rPr>
          <w:rFonts w:ascii="Verdana" w:hAnsi="Verdana"/>
          <w:sz w:val="24"/>
          <w:szCs w:val="24"/>
          <w:lang w:val="en-US"/>
        </w:rPr>
      </w:pPr>
      <w:r>
        <w:rPr>
          <w:rFonts w:ascii="Verdana" w:hAnsi="Verdana"/>
          <w:sz w:val="24"/>
          <w:szCs w:val="24"/>
          <w:lang w:val="en-US"/>
        </w:rPr>
        <w:t>Disadvantages:</w:t>
      </w:r>
    </w:p>
    <w:p w:rsidR="008D3D1C" w:rsidRDefault="008D3D1C" w:rsidP="008D3D1C">
      <w:pPr>
        <w:pStyle w:val="ListParagraph"/>
        <w:numPr>
          <w:ilvl w:val="0"/>
          <w:numId w:val="1"/>
        </w:numPr>
        <w:rPr>
          <w:rFonts w:ascii="Verdana" w:hAnsi="Verdana"/>
          <w:sz w:val="24"/>
          <w:szCs w:val="24"/>
          <w:lang w:val="en-US"/>
        </w:rPr>
      </w:pPr>
      <w:r>
        <w:rPr>
          <w:rFonts w:ascii="Verdana" w:hAnsi="Verdana"/>
          <w:sz w:val="24"/>
          <w:szCs w:val="24"/>
          <w:lang w:val="en-US"/>
        </w:rPr>
        <w:t>Irritation, necrosis and granuloma formation can occur at the injection site</w:t>
      </w:r>
    </w:p>
    <w:p w:rsidR="008D3D1C" w:rsidRDefault="008D3D1C" w:rsidP="008D3D1C">
      <w:pPr>
        <w:pStyle w:val="ListParagraph"/>
        <w:numPr>
          <w:ilvl w:val="0"/>
          <w:numId w:val="1"/>
        </w:numPr>
        <w:rPr>
          <w:rFonts w:ascii="Verdana" w:hAnsi="Verdana"/>
          <w:sz w:val="24"/>
          <w:szCs w:val="24"/>
          <w:lang w:val="en-US"/>
        </w:rPr>
      </w:pPr>
      <w:r>
        <w:rPr>
          <w:rFonts w:ascii="Verdana" w:hAnsi="Verdana"/>
          <w:sz w:val="24"/>
          <w:szCs w:val="24"/>
          <w:lang w:val="en-US"/>
        </w:rPr>
        <w:t>Once drugs administered it cannot be removed, therefore it is important to calculate all drug doses accurately and ensure the right drugs are being used.</w:t>
      </w:r>
    </w:p>
    <w:p w:rsidR="008D3D1C" w:rsidRDefault="008D3D1C" w:rsidP="008D3D1C">
      <w:pPr>
        <w:pStyle w:val="ListParagraph"/>
        <w:numPr>
          <w:ilvl w:val="0"/>
          <w:numId w:val="1"/>
        </w:numPr>
        <w:rPr>
          <w:rFonts w:ascii="Verdana" w:hAnsi="Verdana"/>
          <w:sz w:val="24"/>
          <w:szCs w:val="24"/>
          <w:lang w:val="en-US"/>
        </w:rPr>
      </w:pPr>
      <w:r>
        <w:rPr>
          <w:rFonts w:ascii="Verdana" w:hAnsi="Verdana"/>
          <w:sz w:val="24"/>
          <w:szCs w:val="24"/>
          <w:lang w:val="en-US"/>
        </w:rPr>
        <w:t>There is a risk of potential injury to the eye while performing injection.</w:t>
      </w:r>
    </w:p>
    <w:p w:rsidR="00710C2E" w:rsidRDefault="00710C2E" w:rsidP="00710C2E">
      <w:pPr>
        <w:rPr>
          <w:rFonts w:ascii="Verdana" w:hAnsi="Verdana"/>
          <w:sz w:val="24"/>
          <w:szCs w:val="24"/>
          <w:lang w:val="en-US"/>
        </w:rPr>
      </w:pPr>
      <w:r>
        <w:rPr>
          <w:rFonts w:ascii="Verdana" w:hAnsi="Verdana"/>
          <w:sz w:val="24"/>
          <w:szCs w:val="24"/>
          <w:lang w:val="en-US"/>
        </w:rPr>
        <w:t>Complications:</w:t>
      </w:r>
    </w:p>
    <w:p w:rsidR="00710C2E" w:rsidRDefault="00710C2E" w:rsidP="00710C2E">
      <w:pPr>
        <w:pStyle w:val="ListParagraph"/>
        <w:numPr>
          <w:ilvl w:val="0"/>
          <w:numId w:val="1"/>
        </w:numPr>
        <w:rPr>
          <w:rFonts w:ascii="Verdana" w:hAnsi="Verdana"/>
          <w:sz w:val="24"/>
          <w:szCs w:val="24"/>
          <w:lang w:val="en-US"/>
        </w:rPr>
      </w:pPr>
      <w:r>
        <w:rPr>
          <w:rFonts w:ascii="Verdana" w:hAnsi="Verdana"/>
          <w:sz w:val="24"/>
          <w:szCs w:val="24"/>
          <w:lang w:val="en-US"/>
        </w:rPr>
        <w:t>Irritation at the site</w:t>
      </w:r>
    </w:p>
    <w:p w:rsidR="00710C2E" w:rsidRDefault="00710C2E" w:rsidP="00710C2E">
      <w:pPr>
        <w:pStyle w:val="ListParagraph"/>
        <w:numPr>
          <w:ilvl w:val="0"/>
          <w:numId w:val="1"/>
        </w:numPr>
        <w:rPr>
          <w:rFonts w:ascii="Verdana" w:hAnsi="Verdana"/>
          <w:sz w:val="24"/>
          <w:szCs w:val="24"/>
          <w:lang w:val="en-US"/>
        </w:rPr>
      </w:pPr>
      <w:r>
        <w:rPr>
          <w:rFonts w:ascii="Verdana" w:hAnsi="Verdana"/>
          <w:sz w:val="24"/>
          <w:szCs w:val="24"/>
          <w:lang w:val="en-US"/>
        </w:rPr>
        <w:t>Intraocular penetration, damage to the globe</w:t>
      </w:r>
    </w:p>
    <w:p w:rsidR="00710C2E" w:rsidRPr="00710C2E" w:rsidRDefault="00710C2E" w:rsidP="00710C2E">
      <w:pPr>
        <w:pStyle w:val="ListParagraph"/>
        <w:numPr>
          <w:ilvl w:val="0"/>
          <w:numId w:val="1"/>
        </w:numPr>
        <w:rPr>
          <w:rFonts w:ascii="Verdana" w:hAnsi="Verdana"/>
          <w:sz w:val="24"/>
          <w:szCs w:val="24"/>
          <w:lang w:val="en-US"/>
        </w:rPr>
      </w:pPr>
      <w:r>
        <w:rPr>
          <w:rFonts w:ascii="Verdana" w:hAnsi="Verdana"/>
          <w:sz w:val="24"/>
          <w:szCs w:val="24"/>
          <w:lang w:val="en-US"/>
        </w:rPr>
        <w:t>Granuloma formation</w:t>
      </w:r>
    </w:p>
    <w:sectPr w:rsidR="00710C2E" w:rsidRPr="00710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B753E8"/>
    <w:multiLevelType w:val="hybridMultilevel"/>
    <w:tmpl w:val="B9E635AA"/>
    <w:lvl w:ilvl="0" w:tplc="CF6CDB54">
      <w:numFmt w:val="bullet"/>
      <w:lvlText w:val="-"/>
      <w:lvlJc w:val="left"/>
      <w:pPr>
        <w:ind w:left="720" w:hanging="360"/>
      </w:pPr>
      <w:rPr>
        <w:rFonts w:ascii="Verdana" w:eastAsiaTheme="minorHAnsi" w:hAnsi="Verdana" w:cstheme="minorBid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09"/>
    <w:rsid w:val="000E1183"/>
    <w:rsid w:val="000F3D6C"/>
    <w:rsid w:val="00326A3D"/>
    <w:rsid w:val="003F0F8D"/>
    <w:rsid w:val="006F0086"/>
    <w:rsid w:val="00710C2E"/>
    <w:rsid w:val="008B4884"/>
    <w:rsid w:val="008D3D1C"/>
    <w:rsid w:val="00A06A0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79C91-D35D-4791-AB23-DDF1FA5F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Ramdhan</dc:creator>
  <cp:keywords/>
  <dc:description/>
  <cp:lastModifiedBy>Celine Ramdhan</cp:lastModifiedBy>
  <cp:revision>9</cp:revision>
  <dcterms:created xsi:type="dcterms:W3CDTF">2023-09-30T22:21:00Z</dcterms:created>
  <dcterms:modified xsi:type="dcterms:W3CDTF">2023-10-01T17:43:00Z</dcterms:modified>
</cp:coreProperties>
</file>